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ABC6" w14:textId="77777777" w:rsidR="008F2AB7" w:rsidRPr="003A3218" w:rsidRDefault="008F2AB7" w:rsidP="00C565EA">
      <w:pPr>
        <w:spacing w:line="276" w:lineRule="auto"/>
        <w:jc w:val="center"/>
        <w:rPr>
          <w:rFonts w:ascii="Times New Roman" w:hAnsi="Times New Roman"/>
          <w:b/>
          <w:bCs/>
          <w:color w:val="000000"/>
          <w:sz w:val="24"/>
          <w:szCs w:val="24"/>
          <w:u w:val="single"/>
          <w:lang w:val="fr-FR"/>
        </w:rPr>
      </w:pPr>
      <w:bookmarkStart w:id="0" w:name="_GoBack"/>
      <w:bookmarkStart w:id="1" w:name="_Hlk165016684"/>
      <w:bookmarkEnd w:id="0"/>
      <w:r w:rsidRPr="003A3218">
        <w:rPr>
          <w:rFonts w:ascii="Times New Roman" w:hAnsi="Times New Roman"/>
          <w:b/>
          <w:bCs/>
          <w:color w:val="000000"/>
          <w:sz w:val="24"/>
          <w:szCs w:val="24"/>
          <w:u w:val="single"/>
          <w:lang w:val="fr-FR"/>
        </w:rPr>
        <w:t>19ème Congrès de la Conférence des Cours constitutionnelles européennes</w:t>
      </w:r>
    </w:p>
    <w:p w14:paraId="1B3393D6" w14:textId="77777777" w:rsidR="008F2AB7" w:rsidRPr="003A3218" w:rsidRDefault="008F2AB7" w:rsidP="00C565EA">
      <w:pPr>
        <w:spacing w:line="276" w:lineRule="auto"/>
        <w:jc w:val="center"/>
        <w:rPr>
          <w:rFonts w:ascii="Times New Roman" w:hAnsi="Times New Roman"/>
          <w:b/>
          <w:bCs/>
          <w:color w:val="000000"/>
          <w:sz w:val="24"/>
          <w:szCs w:val="24"/>
          <w:lang w:val="fr-FR"/>
        </w:rPr>
      </w:pPr>
      <w:r w:rsidRPr="003A3218">
        <w:rPr>
          <w:rFonts w:ascii="Times New Roman" w:hAnsi="Times New Roman"/>
          <w:b/>
          <w:bCs/>
          <w:color w:val="000000"/>
          <w:sz w:val="24"/>
          <w:szCs w:val="24"/>
          <w:lang w:val="fr-FR"/>
        </w:rPr>
        <w:t>Formes et limites de la déférence judiciaire : le cas des cours constitutionnelles</w:t>
      </w:r>
    </w:p>
    <w:bookmarkEnd w:id="1"/>
    <w:p w14:paraId="24BB4878"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Les cultures constitutionnelles varient et la perception qu’ont les </w:t>
      </w:r>
      <w:r w:rsidR="001E2DD7" w:rsidRPr="003A3218">
        <w:rPr>
          <w:rFonts w:ascii="Times New Roman" w:hAnsi="Times New Roman"/>
          <w:color w:val="000000"/>
          <w:sz w:val="24"/>
          <w:szCs w:val="24"/>
          <w:lang w:val="fr-FR"/>
        </w:rPr>
        <w:t>cours</w:t>
      </w:r>
      <w:r w:rsidRPr="003A3218">
        <w:rPr>
          <w:rFonts w:ascii="Times New Roman" w:hAnsi="Times New Roman"/>
          <w:color w:val="000000"/>
          <w:sz w:val="24"/>
          <w:szCs w:val="24"/>
          <w:lang w:val="fr-FR"/>
        </w:rPr>
        <w:t xml:space="preserve"> de leur rôle dans une démocratie constitutionnelle influe sur l’intensité de leur analyse dans les affaires impliquant des droits fondamentaux. De nombreu</w:t>
      </w:r>
      <w:r w:rsidR="001E2DD7" w:rsidRPr="003A3218">
        <w:rPr>
          <w:rFonts w:ascii="Times New Roman" w:hAnsi="Times New Roman"/>
          <w:color w:val="000000"/>
          <w:sz w:val="24"/>
          <w:szCs w:val="24"/>
          <w:lang w:val="fr-FR"/>
        </w:rPr>
        <w:t>ses</w:t>
      </w:r>
      <w:r w:rsidRPr="003A3218">
        <w:rPr>
          <w:rFonts w:ascii="Times New Roman" w:hAnsi="Times New Roman"/>
          <w:color w:val="000000"/>
          <w:sz w:val="24"/>
          <w:szCs w:val="24"/>
          <w:lang w:val="fr-FR"/>
        </w:rPr>
        <w:t xml:space="preserve"> </w:t>
      </w:r>
      <w:r w:rsidR="001E2DD7" w:rsidRPr="003A3218">
        <w:rPr>
          <w:rFonts w:ascii="Times New Roman" w:hAnsi="Times New Roman"/>
          <w:color w:val="000000"/>
          <w:sz w:val="24"/>
          <w:szCs w:val="24"/>
          <w:lang w:val="fr-FR"/>
        </w:rPr>
        <w:t xml:space="preserve">cours </w:t>
      </w:r>
      <w:r w:rsidRPr="003A3218">
        <w:rPr>
          <w:rFonts w:ascii="Times New Roman" w:hAnsi="Times New Roman"/>
          <w:color w:val="000000"/>
          <w:sz w:val="24"/>
          <w:szCs w:val="24"/>
          <w:lang w:val="fr-FR"/>
        </w:rPr>
        <w:t xml:space="preserve">font preuve de déférence judiciaire. </w:t>
      </w:r>
      <w:r w:rsidR="00E25AC2" w:rsidRPr="003A3218">
        <w:rPr>
          <w:rFonts w:ascii="Times New Roman" w:hAnsi="Times New Roman"/>
          <w:color w:val="000000"/>
          <w:sz w:val="24"/>
          <w:szCs w:val="24"/>
          <w:lang w:val="fr-FR"/>
        </w:rPr>
        <w:t xml:space="preserve"> </w:t>
      </w:r>
    </w:p>
    <w:p w14:paraId="3FD7E143"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déférence judiciaire est un outil inventé par les juges pour maintenir la séparation des pouvoirs et limiter leurs interventions dans des </w:t>
      </w:r>
      <w:r w:rsidR="001E2DD7" w:rsidRPr="003A3218">
        <w:rPr>
          <w:rFonts w:ascii="Times New Roman" w:hAnsi="Times New Roman"/>
          <w:color w:val="000000"/>
          <w:sz w:val="24"/>
          <w:szCs w:val="24"/>
          <w:lang w:val="fr-FR"/>
        </w:rPr>
        <w:t>questions</w:t>
      </w:r>
      <w:r w:rsidRPr="003A3218">
        <w:rPr>
          <w:rFonts w:ascii="Times New Roman" w:hAnsi="Times New Roman"/>
          <w:color w:val="000000"/>
          <w:sz w:val="24"/>
          <w:szCs w:val="24"/>
          <w:lang w:val="fr-FR"/>
        </w:rPr>
        <w:t xml:space="preserve"> considérées comme dépassant leur expertise ou leur légitimité à décider. Cet </w:t>
      </w:r>
      <w:r w:rsidR="001E2DD7" w:rsidRPr="003A3218">
        <w:rPr>
          <w:rFonts w:ascii="Times New Roman" w:hAnsi="Times New Roman"/>
          <w:color w:val="000000"/>
          <w:sz w:val="24"/>
          <w:szCs w:val="24"/>
          <w:lang w:val="fr-FR"/>
        </w:rPr>
        <w:t>outil</w:t>
      </w:r>
      <w:r w:rsidRPr="003A3218">
        <w:rPr>
          <w:rFonts w:ascii="Times New Roman" w:hAnsi="Times New Roman"/>
          <w:color w:val="000000"/>
          <w:sz w:val="24"/>
          <w:szCs w:val="24"/>
          <w:lang w:val="fr-FR"/>
        </w:rPr>
        <w:t xml:space="preserve"> a été utilisé, en particulier, dans des affaires concernant les droits de l’homme. Ce</w:t>
      </w:r>
      <w:r w:rsidR="001E2DD7" w:rsidRPr="003A3218">
        <w:rPr>
          <w:rFonts w:ascii="Times New Roman" w:hAnsi="Times New Roman"/>
          <w:color w:val="000000"/>
          <w:sz w:val="24"/>
          <w:szCs w:val="24"/>
          <w:lang w:val="fr-FR"/>
        </w:rPr>
        <w:t xml:space="preserve"> fait </w:t>
      </w:r>
      <w:r w:rsidRPr="003A3218">
        <w:rPr>
          <w:rFonts w:ascii="Times New Roman" w:hAnsi="Times New Roman"/>
          <w:color w:val="000000"/>
          <w:sz w:val="24"/>
          <w:szCs w:val="24"/>
          <w:lang w:val="fr-FR"/>
        </w:rPr>
        <w:t>est dû à leur qualité transcendante, capable de traverser tous les domaines substanti</w:t>
      </w:r>
      <w:r w:rsidR="0062419B" w:rsidRPr="003A3218">
        <w:rPr>
          <w:rFonts w:ascii="Times New Roman" w:hAnsi="Times New Roman"/>
          <w:color w:val="000000"/>
          <w:sz w:val="24"/>
          <w:szCs w:val="24"/>
          <w:lang w:val="fr-FR"/>
        </w:rPr>
        <w:t>els</w:t>
      </w:r>
      <w:r w:rsidRPr="003A3218">
        <w:rPr>
          <w:rFonts w:ascii="Times New Roman" w:hAnsi="Times New Roman"/>
          <w:color w:val="000000"/>
          <w:sz w:val="24"/>
          <w:szCs w:val="24"/>
          <w:lang w:val="fr-FR"/>
        </w:rPr>
        <w:t xml:space="preserve"> </w:t>
      </w:r>
      <w:r w:rsidR="0062419B" w:rsidRPr="003A3218">
        <w:rPr>
          <w:rFonts w:ascii="Times New Roman" w:hAnsi="Times New Roman"/>
          <w:color w:val="000000"/>
          <w:sz w:val="24"/>
          <w:szCs w:val="24"/>
          <w:lang w:val="fr-FR"/>
        </w:rPr>
        <w:t xml:space="preserve">du processus public </w:t>
      </w:r>
      <w:r w:rsidRPr="003A3218">
        <w:rPr>
          <w:rFonts w:ascii="Times New Roman" w:hAnsi="Times New Roman"/>
          <w:color w:val="000000"/>
          <w:sz w:val="24"/>
          <w:szCs w:val="24"/>
          <w:lang w:val="fr-FR"/>
        </w:rPr>
        <w:t xml:space="preserve">de la prise de décision. </w:t>
      </w:r>
    </w:p>
    <w:p w14:paraId="57E98D9F"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L’excès de déférence est considéré comme une atteinte à la prééminence du droit et à la séparation des pouvoirs, tout comme l’excès d’activisme judiciaire. La manière d</w:t>
      </w:r>
      <w:r w:rsidR="00E31ACC" w:rsidRPr="003A3218">
        <w:rPr>
          <w:rFonts w:ascii="Times New Roman" w:hAnsi="Times New Roman"/>
          <w:color w:val="000000"/>
          <w:sz w:val="24"/>
          <w:szCs w:val="24"/>
          <w:lang w:val="fr-FR"/>
        </w:rPr>
        <w:t xml:space="preserve">ans laquelle </w:t>
      </w:r>
      <w:r w:rsidRPr="003A3218">
        <w:rPr>
          <w:rFonts w:ascii="Times New Roman" w:hAnsi="Times New Roman"/>
          <w:color w:val="000000"/>
          <w:sz w:val="24"/>
          <w:szCs w:val="24"/>
          <w:lang w:val="fr-FR"/>
        </w:rPr>
        <w:t xml:space="preserve">les juges </w:t>
      </w:r>
      <w:r w:rsidR="00E31ACC" w:rsidRPr="003A3218">
        <w:rPr>
          <w:rFonts w:ascii="Times New Roman" w:hAnsi="Times New Roman"/>
          <w:color w:val="000000"/>
          <w:sz w:val="24"/>
          <w:szCs w:val="24"/>
          <w:lang w:val="fr-FR"/>
        </w:rPr>
        <w:t xml:space="preserve">exercent la déférence judiciaire </w:t>
      </w:r>
      <w:r w:rsidRPr="003A3218">
        <w:rPr>
          <w:rFonts w:ascii="Times New Roman" w:hAnsi="Times New Roman"/>
          <w:color w:val="000000"/>
          <w:sz w:val="24"/>
          <w:szCs w:val="24"/>
          <w:lang w:val="fr-FR"/>
        </w:rPr>
        <w:t xml:space="preserve">est donc une question fondamentale de principe constitutionnel concernant le rôle approprié de chaque branche du gouvernement par rapport à des questions </w:t>
      </w:r>
      <w:r w:rsidR="00E31ACC" w:rsidRPr="003A3218">
        <w:rPr>
          <w:rFonts w:ascii="Times New Roman" w:hAnsi="Times New Roman"/>
          <w:color w:val="000000"/>
          <w:sz w:val="24"/>
          <w:szCs w:val="24"/>
          <w:lang w:val="fr-FR"/>
        </w:rPr>
        <w:t xml:space="preserve">significatives </w:t>
      </w:r>
      <w:r w:rsidRPr="003A3218">
        <w:rPr>
          <w:rFonts w:ascii="Times New Roman" w:hAnsi="Times New Roman"/>
          <w:color w:val="000000"/>
          <w:sz w:val="24"/>
          <w:szCs w:val="24"/>
          <w:lang w:val="fr-FR"/>
        </w:rPr>
        <w:t xml:space="preserve">de politique publique. </w:t>
      </w:r>
    </w:p>
    <w:p w14:paraId="35EAF523"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Les questions du questionnaire visent à </w:t>
      </w:r>
      <w:r w:rsidR="00B8294A" w:rsidRPr="003A3218">
        <w:rPr>
          <w:rFonts w:ascii="Times New Roman" w:hAnsi="Times New Roman"/>
          <w:color w:val="000000"/>
          <w:sz w:val="24"/>
          <w:szCs w:val="24"/>
          <w:lang w:val="fr-FR"/>
        </w:rPr>
        <w:t xml:space="preserve">découvrir </w:t>
      </w:r>
      <w:r w:rsidRPr="003A3218">
        <w:rPr>
          <w:rFonts w:ascii="Times New Roman" w:hAnsi="Times New Roman"/>
          <w:color w:val="000000"/>
          <w:sz w:val="24"/>
          <w:szCs w:val="24"/>
          <w:lang w:val="fr-FR"/>
        </w:rPr>
        <w:t xml:space="preserve">les différences </w:t>
      </w:r>
      <w:r w:rsidR="00B8294A" w:rsidRPr="003A3218">
        <w:rPr>
          <w:rFonts w:ascii="Times New Roman" w:hAnsi="Times New Roman"/>
          <w:color w:val="000000"/>
          <w:sz w:val="24"/>
          <w:szCs w:val="24"/>
          <w:lang w:val="fr-FR"/>
        </w:rPr>
        <w:t xml:space="preserve">qui existent </w:t>
      </w:r>
      <w:r w:rsidRPr="003A3218">
        <w:rPr>
          <w:rFonts w:ascii="Times New Roman" w:hAnsi="Times New Roman"/>
          <w:color w:val="000000"/>
          <w:sz w:val="24"/>
          <w:szCs w:val="24"/>
          <w:lang w:val="fr-FR"/>
        </w:rPr>
        <w:t>dans la mani</w:t>
      </w:r>
      <w:r w:rsidR="00B8294A" w:rsidRPr="003A3218">
        <w:rPr>
          <w:rFonts w:ascii="Times New Roman" w:hAnsi="Times New Roman"/>
          <w:color w:val="000000"/>
          <w:sz w:val="24"/>
          <w:szCs w:val="24"/>
          <w:lang w:val="fr-FR"/>
        </w:rPr>
        <w:t xml:space="preserve">festation </w:t>
      </w:r>
      <w:r w:rsidRPr="003A3218">
        <w:rPr>
          <w:rFonts w:ascii="Times New Roman" w:hAnsi="Times New Roman"/>
          <w:color w:val="000000"/>
          <w:sz w:val="24"/>
          <w:szCs w:val="24"/>
          <w:lang w:val="fr-FR"/>
        </w:rPr>
        <w:t>d</w:t>
      </w:r>
      <w:r w:rsidR="00B8294A" w:rsidRPr="003A3218">
        <w:rPr>
          <w:rFonts w:ascii="Times New Roman" w:hAnsi="Times New Roman"/>
          <w:color w:val="000000"/>
          <w:sz w:val="24"/>
          <w:szCs w:val="24"/>
          <w:lang w:val="fr-FR"/>
        </w:rPr>
        <w:t xml:space="preserve">e la déférence judiciaire par les </w:t>
      </w:r>
      <w:r w:rsidRPr="003A3218">
        <w:rPr>
          <w:rFonts w:ascii="Times New Roman" w:hAnsi="Times New Roman"/>
          <w:color w:val="000000"/>
          <w:sz w:val="24"/>
          <w:szCs w:val="24"/>
          <w:lang w:val="fr-FR"/>
        </w:rPr>
        <w:t xml:space="preserve">cours constitutionnelles européennes. </w:t>
      </w:r>
    </w:p>
    <w:p w14:paraId="11CB1A88"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Le questionnaire a été structuré en quatre chapitres : Questions non justiciables et intensité</w:t>
      </w:r>
      <w:r w:rsidR="008708A2" w:rsidRPr="003A3218">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de la déférence ; </w:t>
      </w:r>
      <w:r w:rsidR="00972547" w:rsidRPr="003A3218">
        <w:rPr>
          <w:rStyle w:val="fontstyle01"/>
          <w:lang w:val="fr-FR"/>
        </w:rPr>
        <w:t>Décideur</w:t>
      </w:r>
      <w:r w:rsidRPr="003A3218">
        <w:rPr>
          <w:rFonts w:ascii="Times New Roman" w:hAnsi="Times New Roman"/>
          <w:color w:val="000000"/>
          <w:sz w:val="24"/>
          <w:szCs w:val="24"/>
          <w:lang w:val="fr-FR"/>
        </w:rPr>
        <w:t xml:space="preserve">; </w:t>
      </w:r>
      <w:r w:rsidR="008708A2" w:rsidRPr="003A3218">
        <w:rPr>
          <w:rFonts w:ascii="Times New Roman" w:hAnsi="Times New Roman"/>
          <w:color w:val="000000"/>
          <w:sz w:val="24"/>
          <w:szCs w:val="24"/>
          <w:lang w:val="fr-FR"/>
        </w:rPr>
        <w:t xml:space="preserve">champ d’application </w:t>
      </w:r>
      <w:r w:rsidRPr="003A3218">
        <w:rPr>
          <w:rFonts w:ascii="Times New Roman" w:hAnsi="Times New Roman"/>
          <w:color w:val="000000"/>
          <w:sz w:val="24"/>
          <w:szCs w:val="24"/>
          <w:lang w:val="fr-FR"/>
        </w:rPr>
        <w:t>des droits, légalité et proportionnalité ; et Autres particularités.</w:t>
      </w:r>
    </w:p>
    <w:p w14:paraId="37C58C94"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En bref, ce rapport n’examinera que les trois premiers chapitres, qui reflètent la substance du sujet et </w:t>
      </w:r>
      <w:r w:rsidR="008708A2" w:rsidRPr="003A3218">
        <w:rPr>
          <w:rFonts w:ascii="Times New Roman" w:hAnsi="Times New Roman"/>
          <w:color w:val="000000"/>
          <w:sz w:val="24"/>
          <w:szCs w:val="24"/>
          <w:lang w:val="fr-FR"/>
        </w:rPr>
        <w:t xml:space="preserve">les questions </w:t>
      </w:r>
      <w:r w:rsidRPr="003A3218">
        <w:rPr>
          <w:rFonts w:ascii="Times New Roman" w:hAnsi="Times New Roman"/>
          <w:color w:val="000000"/>
          <w:sz w:val="24"/>
          <w:szCs w:val="24"/>
          <w:lang w:val="fr-FR"/>
        </w:rPr>
        <w:t>auxquel</w:t>
      </w:r>
      <w:r w:rsidR="008708A2" w:rsidRPr="003A3218">
        <w:rPr>
          <w:rFonts w:ascii="Times New Roman" w:hAnsi="Times New Roman"/>
          <w:color w:val="000000"/>
          <w:sz w:val="24"/>
          <w:szCs w:val="24"/>
          <w:lang w:val="fr-FR"/>
        </w:rPr>
        <w:t>le</w:t>
      </w:r>
      <w:r w:rsidRPr="003A3218">
        <w:rPr>
          <w:rFonts w:ascii="Times New Roman" w:hAnsi="Times New Roman"/>
          <w:color w:val="000000"/>
          <w:sz w:val="24"/>
          <w:szCs w:val="24"/>
          <w:lang w:val="fr-FR"/>
        </w:rPr>
        <w:t xml:space="preserve">s la plupart des cours constitutionnelles ont répondu. </w:t>
      </w:r>
    </w:p>
    <w:p w14:paraId="30AED3F2" w14:textId="77777777" w:rsidR="008F2AB7" w:rsidRPr="003A3218" w:rsidRDefault="008F2AB7" w:rsidP="00C847B0">
      <w:pPr>
        <w:pStyle w:val="ListParagraph"/>
        <w:numPr>
          <w:ilvl w:val="0"/>
          <w:numId w:val="17"/>
        </w:numPr>
        <w:spacing w:line="276" w:lineRule="auto"/>
        <w:jc w:val="both"/>
        <w:rPr>
          <w:rFonts w:ascii="Times New Roman" w:hAnsi="Times New Roman"/>
          <w:b/>
          <w:bCs/>
          <w:color w:val="000000"/>
          <w:sz w:val="24"/>
          <w:szCs w:val="24"/>
          <w:lang w:val="fr-FR"/>
        </w:rPr>
      </w:pPr>
      <w:r w:rsidRPr="003A3218">
        <w:rPr>
          <w:rFonts w:ascii="Times New Roman" w:hAnsi="Times New Roman"/>
          <w:b/>
          <w:bCs/>
          <w:color w:val="000000"/>
          <w:sz w:val="24"/>
          <w:szCs w:val="24"/>
          <w:lang w:val="fr-FR"/>
        </w:rPr>
        <w:t xml:space="preserve">Questions non justiciables et </w:t>
      </w:r>
      <w:r w:rsidR="008708A2" w:rsidRPr="003A3218">
        <w:rPr>
          <w:rFonts w:ascii="Times New Roman" w:hAnsi="Times New Roman"/>
          <w:b/>
          <w:bCs/>
          <w:color w:val="000000"/>
          <w:sz w:val="24"/>
          <w:szCs w:val="24"/>
          <w:lang w:val="fr-FR"/>
        </w:rPr>
        <w:t>intensités</w:t>
      </w:r>
      <w:r w:rsidRPr="003A3218">
        <w:rPr>
          <w:rFonts w:ascii="Times New Roman" w:hAnsi="Times New Roman"/>
          <w:b/>
          <w:bCs/>
          <w:color w:val="000000"/>
          <w:sz w:val="24"/>
          <w:szCs w:val="24"/>
          <w:lang w:val="fr-FR"/>
        </w:rPr>
        <w:t xml:space="preserve"> de </w:t>
      </w:r>
      <w:r w:rsidR="008708A2" w:rsidRPr="003A3218">
        <w:rPr>
          <w:rFonts w:ascii="Times New Roman" w:hAnsi="Times New Roman"/>
          <w:b/>
          <w:bCs/>
          <w:color w:val="000000"/>
          <w:sz w:val="24"/>
          <w:szCs w:val="24"/>
          <w:lang w:val="fr-FR"/>
        </w:rPr>
        <w:t xml:space="preserve">la </w:t>
      </w:r>
      <w:r w:rsidRPr="003A3218">
        <w:rPr>
          <w:rFonts w:ascii="Times New Roman" w:hAnsi="Times New Roman"/>
          <w:b/>
          <w:bCs/>
          <w:color w:val="000000"/>
          <w:sz w:val="24"/>
          <w:szCs w:val="24"/>
          <w:lang w:val="fr-FR"/>
        </w:rPr>
        <w:t>déférence</w:t>
      </w:r>
    </w:p>
    <w:p w14:paraId="3E05BE03" w14:textId="77777777" w:rsidR="008F2AB7" w:rsidRPr="003A3218" w:rsidRDefault="008F2AB7" w:rsidP="00C847B0">
      <w:pPr>
        <w:spacing w:line="276" w:lineRule="auto"/>
        <w:jc w:val="both"/>
        <w:rPr>
          <w:rFonts w:ascii="Times New Roman" w:hAnsi="Times New Roman"/>
          <w:color w:val="000000"/>
          <w:sz w:val="24"/>
          <w:szCs w:val="24"/>
          <w:lang w:val="fr-FR"/>
        </w:rPr>
      </w:pPr>
      <w:r w:rsidRPr="003A3218">
        <w:rPr>
          <w:rFonts w:ascii="Times New Roman" w:hAnsi="Times New Roman"/>
          <w:b/>
          <w:bCs/>
          <w:color w:val="000000"/>
          <w:sz w:val="24"/>
          <w:szCs w:val="24"/>
          <w:lang w:val="fr-FR"/>
        </w:rPr>
        <w:t>1.</w:t>
      </w:r>
      <w:r w:rsidRPr="003A3218">
        <w:rPr>
          <w:rFonts w:ascii="Times New Roman" w:hAnsi="Times New Roman"/>
          <w:color w:val="000000"/>
          <w:sz w:val="24"/>
          <w:szCs w:val="24"/>
          <w:lang w:val="fr-FR"/>
        </w:rPr>
        <w:t xml:space="preserve"> Pour définir le concept de déférence judiciaire, l</w:t>
      </w:r>
      <w:r w:rsidR="00D439D7" w:rsidRPr="003A3218">
        <w:rPr>
          <w:rFonts w:ascii="Times New Roman" w:hAnsi="Times New Roman"/>
          <w:color w:val="000000"/>
          <w:sz w:val="24"/>
          <w:szCs w:val="24"/>
          <w:lang w:val="fr-FR"/>
        </w:rPr>
        <w:t>a</w:t>
      </w:r>
      <w:r w:rsidRPr="003A3218">
        <w:rPr>
          <w:rFonts w:ascii="Times New Roman" w:hAnsi="Times New Roman"/>
          <w:color w:val="000000"/>
          <w:sz w:val="24"/>
          <w:szCs w:val="24"/>
          <w:lang w:val="fr-FR"/>
        </w:rPr>
        <w:t xml:space="preserve"> </w:t>
      </w:r>
      <w:r w:rsidR="00D439D7" w:rsidRPr="003A3218">
        <w:rPr>
          <w:rFonts w:ascii="Times New Roman" w:hAnsi="Times New Roman"/>
          <w:color w:val="000000"/>
          <w:sz w:val="24"/>
          <w:szCs w:val="24"/>
          <w:lang w:val="fr-FR"/>
        </w:rPr>
        <w:t xml:space="preserve">Cour </w:t>
      </w:r>
      <w:r w:rsidRPr="003A3218">
        <w:rPr>
          <w:rFonts w:ascii="Times New Roman" w:hAnsi="Times New Roman"/>
          <w:color w:val="000000"/>
          <w:sz w:val="24"/>
          <w:szCs w:val="24"/>
          <w:lang w:val="fr-FR"/>
        </w:rPr>
        <w:t>constitutionnel</w:t>
      </w:r>
      <w:r w:rsidR="00D439D7" w:rsidRPr="003A3218">
        <w:rPr>
          <w:rFonts w:ascii="Times New Roman" w:hAnsi="Times New Roman"/>
          <w:color w:val="000000"/>
          <w:sz w:val="24"/>
          <w:szCs w:val="24"/>
          <w:lang w:val="fr-FR"/>
        </w:rPr>
        <w:t>le</w:t>
      </w:r>
      <w:r w:rsidRPr="003A3218">
        <w:rPr>
          <w:rFonts w:ascii="Times New Roman" w:hAnsi="Times New Roman"/>
          <w:color w:val="000000"/>
          <w:sz w:val="24"/>
          <w:szCs w:val="24"/>
          <w:lang w:val="fr-FR"/>
        </w:rPr>
        <w:t xml:space="preserve"> d’Espagne nous invite à partir méthodiquement de la définition du mot « déférence » dans le dictionnaire Merriam Webster. Selon ce dernier, la déférence est un « respect affecté ou flatteur pour les souhaits d’autrui » ou « le respect et l’estime dus à un supérieur ou à un aîné ». Ces deux significations soulignent l’existence d’une relation d’altérité influencée par le respect de la position ou du mode d’action de l’autre. </w:t>
      </w:r>
    </w:p>
    <w:p w14:paraId="7D573D6C" w14:textId="77777777" w:rsidR="008F2AB7" w:rsidRPr="003A3218" w:rsidRDefault="008F2AB7" w:rsidP="00C847B0">
      <w:pPr>
        <w:spacing w:line="276" w:lineRule="auto"/>
        <w:jc w:val="both"/>
        <w:rPr>
          <w:rStyle w:val="fontstyle01"/>
          <w:lang w:val="fr-FR"/>
        </w:rPr>
      </w:pPr>
      <w:r w:rsidRPr="003A3218">
        <w:rPr>
          <w:rFonts w:ascii="Times New Roman" w:hAnsi="Times New Roman"/>
          <w:color w:val="000000"/>
          <w:sz w:val="24"/>
          <w:szCs w:val="24"/>
          <w:lang w:val="fr-FR"/>
        </w:rPr>
        <w:t xml:space="preserve">Le droit espagnol, par exemple, partage la notion générale de </w:t>
      </w:r>
      <w:r w:rsidRPr="003A3218">
        <w:rPr>
          <w:rFonts w:ascii="Times New Roman" w:hAnsi="Times New Roman"/>
          <w:i/>
          <w:color w:val="000000"/>
          <w:sz w:val="24"/>
          <w:szCs w:val="24"/>
          <w:lang w:val="fr-FR"/>
        </w:rPr>
        <w:t>déférence judiciaire</w:t>
      </w:r>
      <w:r w:rsidRPr="003A3218">
        <w:rPr>
          <w:rFonts w:ascii="Times New Roman" w:hAnsi="Times New Roman"/>
          <w:color w:val="000000"/>
          <w:sz w:val="24"/>
          <w:szCs w:val="24"/>
          <w:lang w:val="fr-FR"/>
        </w:rPr>
        <w:t xml:space="preserve">. Ainsi, le juge qui fait preuve de déférence sera celui qui propose des solutions compte tenu de la pluralité du système juridique. Le juge </w:t>
      </w:r>
      <w:r w:rsidR="00D439D7" w:rsidRPr="003A3218">
        <w:rPr>
          <w:rFonts w:ascii="Times New Roman" w:hAnsi="Times New Roman"/>
          <w:color w:val="000000"/>
          <w:sz w:val="24"/>
          <w:szCs w:val="24"/>
          <w:lang w:val="fr-FR"/>
        </w:rPr>
        <w:t xml:space="preserve">qui manifeste de la </w:t>
      </w:r>
      <w:r w:rsidRPr="003A3218">
        <w:rPr>
          <w:rFonts w:ascii="Times New Roman" w:hAnsi="Times New Roman"/>
          <w:color w:val="000000"/>
          <w:sz w:val="24"/>
          <w:szCs w:val="24"/>
          <w:lang w:val="fr-FR"/>
        </w:rPr>
        <w:t>déféren</w:t>
      </w:r>
      <w:r w:rsidR="00D439D7" w:rsidRPr="003A3218">
        <w:rPr>
          <w:rFonts w:ascii="Times New Roman" w:hAnsi="Times New Roman"/>
          <w:color w:val="000000"/>
          <w:sz w:val="24"/>
          <w:szCs w:val="24"/>
          <w:lang w:val="fr-FR"/>
        </w:rPr>
        <w:t xml:space="preserve">ce </w:t>
      </w:r>
      <w:r w:rsidRPr="003A3218">
        <w:rPr>
          <w:rFonts w:ascii="Times New Roman" w:hAnsi="Times New Roman"/>
          <w:color w:val="000000"/>
          <w:sz w:val="24"/>
          <w:szCs w:val="24"/>
          <w:lang w:val="fr-FR"/>
        </w:rPr>
        <w:t>sera très intéressé à établir et à contrebalancer les éventuelles revendications concurrentes de légitimité dans un cas donné. Il traitera les raisons avancées par le législateur, en tant que pouvoir public directement chargé par la Constitution d’émettre des jugements fondamentaux, soit en leur donnant du poids (ce que nous appelons la déférence légère), soit en reconnaissant leur prééminence inconditionnelle (ce que nous appelons la déférence forte</w:t>
      </w:r>
      <w:r w:rsidRPr="003A3218">
        <w:rPr>
          <w:rStyle w:val="fontstyle01"/>
          <w:lang w:val="fr-FR"/>
        </w:rPr>
        <w:t>).</w:t>
      </w:r>
    </w:p>
    <w:p w14:paraId="16DC4B41" w14:textId="77777777" w:rsidR="008F2AB7" w:rsidRPr="003A3218" w:rsidRDefault="008F2AB7" w:rsidP="0038711A">
      <w:pPr>
        <w:spacing w:line="276" w:lineRule="auto"/>
        <w:jc w:val="both"/>
        <w:rPr>
          <w:rStyle w:val="fontstyle01"/>
          <w:lang w:val="fr-FR"/>
        </w:rPr>
      </w:pPr>
      <w:r w:rsidRPr="003A3218">
        <w:rPr>
          <w:rStyle w:val="fontstyle01"/>
          <w:lang w:val="fr-FR"/>
        </w:rPr>
        <w:t xml:space="preserve">Mais le cas espagnol ne se reflète pas dans les réalités françaises. La notion de déférence ne se retrouve pas dans la pratique et </w:t>
      </w:r>
      <w:r w:rsidR="00022F74" w:rsidRPr="003A3218">
        <w:rPr>
          <w:rStyle w:val="fontstyle01"/>
          <w:lang w:val="fr-FR"/>
        </w:rPr>
        <w:t xml:space="preserve">dans </w:t>
      </w:r>
      <w:r w:rsidRPr="003A3218">
        <w:rPr>
          <w:rStyle w:val="fontstyle01"/>
          <w:lang w:val="fr-FR"/>
        </w:rPr>
        <w:t xml:space="preserve">la jurisprudence du Conseil constitutionnel français. Le Conseil constitutionnel français a requalifié la terminologie de ce questionnaire. Le Conseil ne </w:t>
      </w:r>
      <w:r w:rsidRPr="003A3218">
        <w:rPr>
          <w:rStyle w:val="fontstyle01"/>
          <w:lang w:val="fr-FR"/>
        </w:rPr>
        <w:lastRenderedPageBreak/>
        <w:t xml:space="preserve">fait pas preuve de déférence, mais respecte la liberté d’action du législateur, refusant de se prononcer sur des options qui relèvent naturellement de la marge d’appréciation du législateur, notant que la Constitution « ne lui confère pas un pouvoir général d’appréciation et de décision identique à celui du Parlement ».  </w:t>
      </w:r>
    </w:p>
    <w:p w14:paraId="1C3FA933" w14:textId="77777777" w:rsidR="008F2AB7" w:rsidRPr="003A3218" w:rsidRDefault="008F2AB7" w:rsidP="0038711A">
      <w:pPr>
        <w:spacing w:line="276" w:lineRule="auto"/>
        <w:jc w:val="both"/>
        <w:rPr>
          <w:rStyle w:val="fontstyle01"/>
          <w:lang w:val="fr-FR"/>
        </w:rPr>
      </w:pPr>
      <w:r w:rsidRPr="003A3218">
        <w:rPr>
          <w:rStyle w:val="fontstyle01"/>
          <w:lang w:val="fr-FR"/>
        </w:rPr>
        <w:t>Dans ses réponses au questionnaire, la Cour constitutionnelle fédérale allemande remplace la notion de déférence judiciaire par celle d’autolimitation judiciaire. Néanmoins, l’autolimitation judiciaire n’est pas reconnue en Allemagne. La Cour constitutionnelle fédérale n’a mentionné le terme que très rarement. Le fait que le principe n’ait été mentionné que quelques fois montre que le principe lui-même - contrairement à l’idée qui</w:t>
      </w:r>
      <w:r w:rsidR="002E4318" w:rsidRPr="003A3218">
        <w:rPr>
          <w:rStyle w:val="fontstyle01"/>
          <w:lang w:val="fr-FR"/>
        </w:rPr>
        <w:t xml:space="preserve"> se trouve</w:t>
      </w:r>
      <w:r w:rsidRPr="003A3218">
        <w:rPr>
          <w:rStyle w:val="fontstyle01"/>
          <w:lang w:val="fr-FR"/>
        </w:rPr>
        <w:t xml:space="preserve"> </w:t>
      </w:r>
      <w:r w:rsidR="002E4318" w:rsidRPr="003A3218">
        <w:rPr>
          <w:rStyle w:val="fontstyle01"/>
          <w:lang w:val="fr-FR"/>
        </w:rPr>
        <w:t xml:space="preserve">à sa base </w:t>
      </w:r>
      <w:r w:rsidRPr="003A3218">
        <w:rPr>
          <w:rStyle w:val="fontstyle01"/>
          <w:lang w:val="fr-FR"/>
        </w:rPr>
        <w:t>- n’a généralement pas d’importance.</w:t>
      </w:r>
    </w:p>
    <w:p w14:paraId="514ABFED" w14:textId="77777777" w:rsidR="008F2AB7" w:rsidRPr="003A3218" w:rsidRDefault="008F2AB7" w:rsidP="0038711A">
      <w:pPr>
        <w:spacing w:line="276" w:lineRule="auto"/>
        <w:jc w:val="both"/>
        <w:rPr>
          <w:rStyle w:val="fontstyle01"/>
          <w:lang w:val="fr-FR"/>
        </w:rPr>
      </w:pPr>
      <w:r w:rsidRPr="003A3218">
        <w:rPr>
          <w:rStyle w:val="fontstyle01"/>
          <w:lang w:val="fr-FR"/>
        </w:rPr>
        <w:t>La notion de déférence judiciaire n’est pas non plus présente dans la jurisprudence de la Cour constitutionnelle autrichienne. Le concept généralement rencontré dans les arrêts de la Cour qui correspond (aujourd’hui) plus étroitement au sens de la déférence judiciaire envers le législateur ou de l’autolimitation judiciaire est le concept de « marge d’appréciation », bien que l’émergence progressive de cette théorie depuis la fin des années 1970 ait eu pour conséquence que la Cour s’est écartée de la déférence antérieure plus prononcée envers le législateur dans la jurisprudence relative aux droits fondamentaux.</w:t>
      </w:r>
    </w:p>
    <w:p w14:paraId="3BB1BBFE" w14:textId="77777777" w:rsidR="008F2AB7" w:rsidRPr="003A3218" w:rsidRDefault="008F2AB7" w:rsidP="0038711A">
      <w:pPr>
        <w:spacing w:line="276" w:lineRule="auto"/>
        <w:jc w:val="both"/>
        <w:rPr>
          <w:rStyle w:val="fontstyle01"/>
          <w:lang w:val="fr-FR"/>
        </w:rPr>
      </w:pPr>
      <w:r w:rsidRPr="003A3218">
        <w:rPr>
          <w:rStyle w:val="fontstyle01"/>
          <w:lang w:val="fr-FR"/>
        </w:rPr>
        <w:t>La Cour constitutionnelle de la République tchèque utilise le plus souvent des termes tels que le principe d’autolimitation et le principe d’ingérence minimale dans les pouvoirs d’autres autorités publiques. Dans sa jurisprudence, la Cour constitutionnelle souligne que « son activité est régie par le principe d’autolimitation et non par l’activisme judiciaire ».</w:t>
      </w:r>
    </w:p>
    <w:p w14:paraId="2C85D165" w14:textId="77777777" w:rsidR="008F2AB7" w:rsidRPr="003A3218" w:rsidRDefault="008F2AB7" w:rsidP="0038711A">
      <w:pPr>
        <w:spacing w:line="276" w:lineRule="auto"/>
        <w:jc w:val="both"/>
        <w:rPr>
          <w:rStyle w:val="fontstyle01"/>
          <w:lang w:val="fr-FR"/>
        </w:rPr>
      </w:pPr>
      <w:r w:rsidRPr="003A3218">
        <w:rPr>
          <w:rStyle w:val="fontstyle01"/>
          <w:lang w:val="fr-FR"/>
        </w:rPr>
        <w:t>Le Tribunal fédéral suisse note que le principe de déférence ou le principe d’autolimitation est important pour ce</w:t>
      </w:r>
      <w:r w:rsidR="002E4318" w:rsidRPr="003A3218">
        <w:rPr>
          <w:rStyle w:val="fontstyle01"/>
          <w:lang w:val="fr-FR"/>
        </w:rPr>
        <w:t xml:space="preserve"> tribunal </w:t>
      </w:r>
      <w:r w:rsidRPr="003A3218">
        <w:rPr>
          <w:rStyle w:val="fontstyle01"/>
          <w:lang w:val="fr-FR"/>
        </w:rPr>
        <w:t>et influence son mode de fonctionnement. Il s’applique, d’une part, à la limitation du pouvoir d’examen prévu par la loi et, d’autre part, à la limitation d</w:t>
      </w:r>
      <w:r w:rsidR="00DA38CB" w:rsidRPr="003A3218">
        <w:rPr>
          <w:rStyle w:val="fontstyle01"/>
          <w:lang w:val="fr-FR"/>
        </w:rPr>
        <w:t xml:space="preserve">u pouvoir d’examen fondé sur la loi substantielle </w:t>
      </w:r>
      <w:r w:rsidRPr="003A3218">
        <w:rPr>
          <w:rStyle w:val="fontstyle01"/>
          <w:lang w:val="fr-FR"/>
        </w:rPr>
        <w:t xml:space="preserve">en présence de particularités locales ou </w:t>
      </w:r>
      <w:r w:rsidR="00DB2FC2" w:rsidRPr="003A3218">
        <w:rPr>
          <w:rStyle w:val="fontstyle01"/>
          <w:lang w:val="fr-FR"/>
        </w:rPr>
        <w:t>d’</w:t>
      </w:r>
      <w:r w:rsidRPr="003A3218">
        <w:rPr>
          <w:rStyle w:val="fontstyle01"/>
          <w:lang w:val="fr-FR"/>
        </w:rPr>
        <w:t>autre</w:t>
      </w:r>
      <w:r w:rsidR="00DB2FC2" w:rsidRPr="003A3218">
        <w:rPr>
          <w:rStyle w:val="fontstyle01"/>
          <w:lang w:val="fr-FR"/>
        </w:rPr>
        <w:t xml:space="preserve"> type</w:t>
      </w:r>
      <w:r w:rsidRPr="003A3218">
        <w:rPr>
          <w:rStyle w:val="fontstyle01"/>
          <w:lang w:val="fr-FR"/>
        </w:rPr>
        <w:t>.</w:t>
      </w:r>
    </w:p>
    <w:p w14:paraId="24BEEC88" w14:textId="77777777" w:rsidR="008F2AB7" w:rsidRPr="003A3218" w:rsidRDefault="008F2AB7" w:rsidP="0038711A">
      <w:pPr>
        <w:spacing w:line="276" w:lineRule="auto"/>
        <w:jc w:val="both"/>
        <w:rPr>
          <w:rStyle w:val="fontstyle01"/>
          <w:lang w:val="fr-FR"/>
        </w:rPr>
      </w:pPr>
      <w:r w:rsidRPr="003A3218">
        <w:rPr>
          <w:rStyle w:val="fontstyle01"/>
          <w:lang w:val="fr-FR"/>
        </w:rPr>
        <w:t>La Cour constitutionnelle du Portugal fait une observation importante : les discussions sur la déférence n’ont de sens que lorsqu’un tribunal n’a pas de raison juridique concluante de s’abstenir de rendre un jugement dans une affaire donnée. Dire qu’une question n’est pas justiciable ne signifie pas qu’un tribunal doit faire preuve de déférence. Dans ce sens</w:t>
      </w:r>
      <w:r w:rsidR="00DA38CB" w:rsidRPr="003A3218">
        <w:rPr>
          <w:rStyle w:val="fontstyle01"/>
          <w:lang w:val="fr-FR"/>
        </w:rPr>
        <w:t xml:space="preserve"> relevant</w:t>
      </w:r>
      <w:r w:rsidRPr="003A3218">
        <w:rPr>
          <w:rStyle w:val="fontstyle01"/>
          <w:lang w:val="fr-FR"/>
        </w:rPr>
        <w:t>, la déférence n’intervient que lorsqu’une question est justiciable. Lorsqu’un tribunal déclare qu’une question n’est pas justiciable (qu’elle ne d</w:t>
      </w:r>
      <w:r w:rsidR="00DA38CB" w:rsidRPr="003A3218">
        <w:rPr>
          <w:rStyle w:val="fontstyle01"/>
          <w:lang w:val="fr-FR"/>
        </w:rPr>
        <w:t>oi</w:t>
      </w:r>
      <w:r w:rsidRPr="003A3218">
        <w:rPr>
          <w:rStyle w:val="fontstyle01"/>
          <w:lang w:val="fr-FR"/>
        </w:rPr>
        <w:t xml:space="preserve">t pas être </w:t>
      </w:r>
      <w:r w:rsidR="00DA38CB" w:rsidRPr="003A3218">
        <w:rPr>
          <w:rStyle w:val="fontstyle01"/>
          <w:lang w:val="fr-FR"/>
        </w:rPr>
        <w:t xml:space="preserve">solutionnée </w:t>
      </w:r>
      <w:r w:rsidRPr="003A3218">
        <w:rPr>
          <w:rStyle w:val="fontstyle01"/>
          <w:lang w:val="fr-FR"/>
        </w:rPr>
        <w:t xml:space="preserve">par un tribunal), il ne </w:t>
      </w:r>
      <w:r w:rsidR="00DA38CB" w:rsidRPr="003A3218">
        <w:rPr>
          <w:rStyle w:val="fontstyle01"/>
          <w:lang w:val="fr-FR"/>
        </w:rPr>
        <w:t xml:space="preserve">manifeste </w:t>
      </w:r>
      <w:r w:rsidR="0089513B" w:rsidRPr="003A3218">
        <w:rPr>
          <w:rStyle w:val="fontstyle01"/>
          <w:lang w:val="fr-FR"/>
        </w:rPr>
        <w:t xml:space="preserve">pas </w:t>
      </w:r>
      <w:r w:rsidRPr="003A3218">
        <w:rPr>
          <w:rStyle w:val="fontstyle01"/>
          <w:lang w:val="fr-FR"/>
        </w:rPr>
        <w:t xml:space="preserve">de déférence. Il affirme plutôt les limites constitutionnelles de son rôle, qui consiste à la fois en des pouvoirs et des </w:t>
      </w:r>
      <w:r w:rsidR="00895792" w:rsidRPr="003A3218">
        <w:rPr>
          <w:rStyle w:val="fontstyle01"/>
          <w:lang w:val="fr-FR"/>
        </w:rPr>
        <w:t>obligations</w:t>
      </w:r>
      <w:r w:rsidRPr="003A3218">
        <w:rPr>
          <w:rStyle w:val="fontstyle01"/>
          <w:lang w:val="fr-FR"/>
        </w:rPr>
        <w:t>.</w:t>
      </w:r>
    </w:p>
    <w:p w14:paraId="4B84D2E8" w14:textId="77777777" w:rsidR="008F2AB7" w:rsidRPr="003A3218" w:rsidRDefault="008F2AB7" w:rsidP="0038711A">
      <w:pPr>
        <w:spacing w:line="276" w:lineRule="auto"/>
        <w:jc w:val="both"/>
        <w:rPr>
          <w:rFonts w:ascii="Times New Roman" w:hAnsi="Times New Roman"/>
          <w:sz w:val="24"/>
          <w:szCs w:val="24"/>
          <w:lang w:val="fr-FR"/>
        </w:rPr>
      </w:pPr>
      <w:r w:rsidRPr="003A3218">
        <w:rPr>
          <w:rStyle w:val="fontstyle01"/>
          <w:lang w:val="fr-FR"/>
        </w:rPr>
        <w:t xml:space="preserve">Dans le système irlandais, la déférence décrit une situation dans laquelle le décideur </w:t>
      </w:r>
      <w:r w:rsidR="00972547" w:rsidRPr="003A3218">
        <w:rPr>
          <w:rStyle w:val="fontstyle01"/>
          <w:lang w:val="fr-FR"/>
        </w:rPr>
        <w:t xml:space="preserve">laisse de côté </w:t>
      </w:r>
      <w:r w:rsidRPr="003A3218">
        <w:rPr>
          <w:rStyle w:val="fontstyle01"/>
          <w:lang w:val="fr-FR"/>
        </w:rPr>
        <w:t xml:space="preserve">la possibilité de prendre une décision indépendante sur une question et fait preuve de déférence à l’égard de la décision </w:t>
      </w:r>
      <w:r w:rsidR="0016591E" w:rsidRPr="003A3218">
        <w:rPr>
          <w:rStyle w:val="fontstyle01"/>
          <w:lang w:val="fr-FR"/>
        </w:rPr>
        <w:t>d’une institution ou d’un organisme</w:t>
      </w:r>
      <w:r w:rsidRPr="003A3218">
        <w:rPr>
          <w:rStyle w:val="fontstyle01"/>
          <w:lang w:val="fr-FR"/>
        </w:rPr>
        <w:t xml:space="preserve"> sur la question litigieuse en </w:t>
      </w:r>
      <w:r w:rsidR="0016591E" w:rsidRPr="003A3218">
        <w:rPr>
          <w:rStyle w:val="fontstyle01"/>
          <w:lang w:val="fr-FR"/>
        </w:rPr>
        <w:t>discussion</w:t>
      </w:r>
      <w:r w:rsidRPr="003A3218">
        <w:rPr>
          <w:rStyle w:val="fontstyle01"/>
          <w:lang w:val="fr-FR"/>
        </w:rPr>
        <w:t>. Ce type de déférence est une déférence totale. Toutefois, il n’est pas nécessaire de faire preuve de déférence de cette manière</w:t>
      </w:r>
      <w:r w:rsidRPr="003A3218">
        <w:rPr>
          <w:rFonts w:ascii="Times New Roman" w:hAnsi="Times New Roman"/>
          <w:sz w:val="24"/>
          <w:szCs w:val="24"/>
          <w:lang w:val="fr-FR"/>
        </w:rPr>
        <w:t xml:space="preserve">; Les juges peuvent faire preuve de déférence en accordant </w:t>
      </w:r>
      <w:r w:rsidR="00DA17D8" w:rsidRPr="003A3218">
        <w:rPr>
          <w:rFonts w:ascii="Times New Roman" w:hAnsi="Times New Roman"/>
          <w:sz w:val="24"/>
          <w:szCs w:val="24"/>
          <w:lang w:val="fr-FR"/>
        </w:rPr>
        <w:t>des</w:t>
      </w:r>
      <w:r w:rsidRPr="003A3218">
        <w:rPr>
          <w:rFonts w:ascii="Times New Roman" w:hAnsi="Times New Roman"/>
          <w:sz w:val="24"/>
          <w:szCs w:val="24"/>
          <w:lang w:val="fr-FR"/>
        </w:rPr>
        <w:t xml:space="preserve"> </w:t>
      </w:r>
      <w:r w:rsidR="00DA17D8" w:rsidRPr="003A3218">
        <w:rPr>
          <w:rFonts w:ascii="Times New Roman" w:hAnsi="Times New Roman"/>
          <w:sz w:val="24"/>
          <w:szCs w:val="24"/>
          <w:lang w:val="fr-FR"/>
        </w:rPr>
        <w:t xml:space="preserve">pondérations </w:t>
      </w:r>
      <w:r w:rsidRPr="003A3218">
        <w:rPr>
          <w:rFonts w:ascii="Times New Roman" w:hAnsi="Times New Roman"/>
          <w:sz w:val="24"/>
          <w:szCs w:val="24"/>
          <w:lang w:val="fr-FR"/>
        </w:rPr>
        <w:t>différente</w:t>
      </w:r>
      <w:r w:rsidR="00DA17D8" w:rsidRPr="003A3218">
        <w:rPr>
          <w:rFonts w:ascii="Times New Roman" w:hAnsi="Times New Roman"/>
          <w:sz w:val="24"/>
          <w:szCs w:val="24"/>
          <w:lang w:val="fr-FR"/>
        </w:rPr>
        <w:t>s</w:t>
      </w:r>
      <w:r w:rsidRPr="003A3218">
        <w:rPr>
          <w:rFonts w:ascii="Times New Roman" w:hAnsi="Times New Roman"/>
          <w:sz w:val="24"/>
          <w:szCs w:val="24"/>
          <w:lang w:val="fr-FR"/>
        </w:rPr>
        <w:t xml:space="preserve"> aux opinions du décideur principal. Plus la pondération est élevée, plus l’approche est déférente et vice versa. </w:t>
      </w:r>
    </w:p>
    <w:p w14:paraId="419BDC48" w14:textId="77777777" w:rsidR="008F2AB7" w:rsidRPr="003A3218" w:rsidRDefault="008F2AB7" w:rsidP="0038711A">
      <w:pPr>
        <w:spacing w:line="276" w:lineRule="auto"/>
        <w:jc w:val="both"/>
        <w:rPr>
          <w:rFonts w:ascii="Times New Roman" w:hAnsi="Times New Roman"/>
          <w:sz w:val="24"/>
          <w:szCs w:val="24"/>
          <w:lang w:val="fr-FR"/>
        </w:rPr>
      </w:pPr>
      <w:r w:rsidRPr="003A3218">
        <w:rPr>
          <w:rFonts w:ascii="Times New Roman" w:hAnsi="Times New Roman"/>
          <w:sz w:val="24"/>
          <w:szCs w:val="24"/>
          <w:lang w:val="fr-FR"/>
        </w:rPr>
        <w:lastRenderedPageBreak/>
        <w:t xml:space="preserve">Pour la Cour suprême de Norvège, la déférence judiciaire </w:t>
      </w:r>
      <w:r w:rsidR="00DA17D8" w:rsidRPr="003A3218">
        <w:rPr>
          <w:rFonts w:ascii="Times New Roman" w:hAnsi="Times New Roman"/>
          <w:sz w:val="24"/>
          <w:szCs w:val="24"/>
          <w:lang w:val="fr-FR"/>
        </w:rPr>
        <w:t>représente</w:t>
      </w:r>
      <w:r w:rsidRPr="003A3218">
        <w:rPr>
          <w:rFonts w:ascii="Times New Roman" w:hAnsi="Times New Roman"/>
          <w:sz w:val="24"/>
          <w:szCs w:val="24"/>
          <w:lang w:val="fr-FR"/>
        </w:rPr>
        <w:t xml:space="preserve"> une notion couramment utilisée. Lorsque cette </w:t>
      </w:r>
      <w:r w:rsidR="00DA17D8" w:rsidRPr="003A3218">
        <w:rPr>
          <w:rFonts w:ascii="Times New Roman" w:hAnsi="Times New Roman"/>
          <w:sz w:val="24"/>
          <w:szCs w:val="24"/>
          <w:lang w:val="fr-FR"/>
        </w:rPr>
        <w:t>cour</w:t>
      </w:r>
      <w:r w:rsidRPr="003A3218">
        <w:rPr>
          <w:rFonts w:ascii="Times New Roman" w:hAnsi="Times New Roman"/>
          <w:sz w:val="24"/>
          <w:szCs w:val="24"/>
          <w:lang w:val="fr-FR"/>
        </w:rPr>
        <w:t xml:space="preserve"> a répondu au questionnaire, elle est partie de son sens d’autolimitation d’un tribunal malgré son pouvoir d’intervention. </w:t>
      </w:r>
    </w:p>
    <w:p w14:paraId="135E935F" w14:textId="77777777" w:rsidR="008F2AB7" w:rsidRPr="003A3218" w:rsidRDefault="008F2AB7" w:rsidP="0038711A">
      <w:pPr>
        <w:spacing w:line="276" w:lineRule="auto"/>
        <w:jc w:val="both"/>
        <w:rPr>
          <w:rFonts w:ascii="Times New Roman" w:hAnsi="Times New Roman"/>
          <w:sz w:val="24"/>
          <w:szCs w:val="24"/>
          <w:lang w:val="fr-FR"/>
        </w:rPr>
      </w:pPr>
      <w:r w:rsidRPr="003A3218">
        <w:rPr>
          <w:rFonts w:ascii="Times New Roman" w:hAnsi="Times New Roman"/>
          <w:b/>
          <w:sz w:val="24"/>
          <w:szCs w:val="24"/>
          <w:lang w:val="fr-FR"/>
        </w:rPr>
        <w:t>2</w:t>
      </w:r>
      <w:r w:rsidR="00DA17D8" w:rsidRPr="003A3218">
        <w:rPr>
          <w:rFonts w:ascii="Times New Roman" w:hAnsi="Times New Roman"/>
          <w:b/>
          <w:sz w:val="24"/>
          <w:szCs w:val="24"/>
          <w:lang w:val="fr-FR"/>
        </w:rPr>
        <w:t>.</w:t>
      </w:r>
      <w:r w:rsidRPr="003A3218">
        <w:rPr>
          <w:rFonts w:ascii="Times New Roman" w:hAnsi="Times New Roman"/>
          <w:sz w:val="24"/>
          <w:szCs w:val="24"/>
          <w:lang w:val="fr-FR"/>
        </w:rPr>
        <w:t xml:space="preserve"> En ce qui concerne le</w:t>
      </w:r>
      <w:r w:rsidR="00506C6A" w:rsidRPr="003A3218">
        <w:rPr>
          <w:rFonts w:ascii="Times New Roman" w:hAnsi="Times New Roman"/>
          <w:sz w:val="24"/>
          <w:szCs w:val="24"/>
          <w:lang w:val="fr-FR"/>
        </w:rPr>
        <w:t>s</w:t>
      </w:r>
      <w:r w:rsidRPr="003A3218">
        <w:rPr>
          <w:rFonts w:ascii="Times New Roman" w:hAnsi="Times New Roman"/>
          <w:sz w:val="24"/>
          <w:szCs w:val="24"/>
          <w:lang w:val="fr-FR"/>
        </w:rPr>
        <w:t xml:space="preserve"> spectre</w:t>
      </w:r>
      <w:r w:rsidR="00506C6A" w:rsidRPr="003A3218">
        <w:rPr>
          <w:rFonts w:ascii="Times New Roman" w:hAnsi="Times New Roman"/>
          <w:sz w:val="24"/>
          <w:szCs w:val="24"/>
          <w:lang w:val="fr-FR"/>
        </w:rPr>
        <w:t>s</w:t>
      </w:r>
      <w:r w:rsidRPr="003A3218">
        <w:rPr>
          <w:rFonts w:ascii="Times New Roman" w:hAnsi="Times New Roman"/>
          <w:sz w:val="24"/>
          <w:szCs w:val="24"/>
          <w:lang w:val="fr-FR"/>
        </w:rPr>
        <w:t xml:space="preserve"> de la déférence et les éventuelles zones inaccessibles ou les zones établies de manque de responsabilité judiciaire, la Cour constitutionnelle italienne répond que si elle est correctement saisie d’une question, elle exerce pleinement ses fonctions de garante de l’ordre constitutionnel, en respectant les </w:t>
      </w:r>
      <w:r w:rsidR="00506C6A" w:rsidRPr="003A3218">
        <w:rPr>
          <w:rFonts w:ascii="Times New Roman" w:hAnsi="Times New Roman"/>
          <w:sz w:val="24"/>
          <w:szCs w:val="24"/>
          <w:lang w:val="fr-FR"/>
        </w:rPr>
        <w:t>options</w:t>
      </w:r>
      <w:r w:rsidRPr="003A3218">
        <w:rPr>
          <w:rFonts w:ascii="Times New Roman" w:hAnsi="Times New Roman"/>
          <w:sz w:val="24"/>
          <w:szCs w:val="24"/>
          <w:lang w:val="fr-FR"/>
        </w:rPr>
        <w:t xml:space="preserve"> discrétionnaires effectué</w:t>
      </w:r>
      <w:r w:rsidR="00506C6A" w:rsidRPr="003A3218">
        <w:rPr>
          <w:rFonts w:ascii="Times New Roman" w:hAnsi="Times New Roman"/>
          <w:sz w:val="24"/>
          <w:szCs w:val="24"/>
          <w:lang w:val="fr-FR"/>
        </w:rPr>
        <w:t>e</w:t>
      </w:r>
      <w:r w:rsidRPr="003A3218">
        <w:rPr>
          <w:rFonts w:ascii="Times New Roman" w:hAnsi="Times New Roman"/>
          <w:sz w:val="24"/>
          <w:szCs w:val="24"/>
          <w:lang w:val="fr-FR"/>
        </w:rPr>
        <w:t>s par le décideur politique, mais en vérifiant toujours que ce pouvoir discrétionnaire est exercé dans le respect des principes et des règles constitutionnels. Si la Cour constate une violation de la Constitution en général, et si les conditions sont réunies, elle intervient, que les questions en jeu soient moralement ou socialement controversées ou politiquement sensibles, qu’elles concernent l’allocation de ressources limitées ou qu’elles aient des implications financières substantielles pour le gouvernement. Dans cette dernière perspective, il est vrai que les choix budgétaires « impliquent des décisions de nature politico-économique qui, en raison de leur nature, sont réservées, selon la Constitution, à l’exécutif ou au parlement, dans la mesure où il s’agit de</w:t>
      </w:r>
      <w:r w:rsidR="00073C3A" w:rsidRPr="003A3218">
        <w:rPr>
          <w:rFonts w:ascii="Times New Roman" w:hAnsi="Times New Roman"/>
          <w:sz w:val="24"/>
          <w:szCs w:val="24"/>
          <w:lang w:val="fr-FR"/>
        </w:rPr>
        <w:t>s</w:t>
      </w:r>
      <w:r w:rsidRPr="003A3218">
        <w:rPr>
          <w:rFonts w:ascii="Times New Roman" w:hAnsi="Times New Roman"/>
          <w:sz w:val="24"/>
          <w:szCs w:val="24"/>
          <w:lang w:val="fr-FR"/>
        </w:rPr>
        <w:t xml:space="preserve"> </w:t>
      </w:r>
      <w:r w:rsidR="00073C3A" w:rsidRPr="003A3218">
        <w:rPr>
          <w:rFonts w:ascii="Times New Roman" w:hAnsi="Times New Roman"/>
          <w:sz w:val="24"/>
          <w:szCs w:val="24"/>
          <w:lang w:val="fr-FR"/>
        </w:rPr>
        <w:t xml:space="preserve">options </w:t>
      </w:r>
      <w:r w:rsidRPr="003A3218">
        <w:rPr>
          <w:rFonts w:ascii="Times New Roman" w:hAnsi="Times New Roman"/>
          <w:sz w:val="24"/>
          <w:szCs w:val="24"/>
          <w:lang w:val="fr-FR"/>
        </w:rPr>
        <w:t>qui, représentant l’effet d’une marge d’appréciation politique incontestable, exigent un respect particulier et substantiel, y compris de la part de la Cour constitutionnelle, bien qu’ils ne puissent pas, bien entendu, représenter un domaine inaccessible exempt de tout contrôle ».</w:t>
      </w:r>
    </w:p>
    <w:p w14:paraId="2E48557E" w14:textId="77777777" w:rsidR="008F2AB7" w:rsidRPr="003A3218" w:rsidRDefault="008F2AB7" w:rsidP="0038711A">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Pour la Cour constitutionnelle autrichienne, la règle est que toutes les parties de la Constitution sont justiciables. Ainsi, la « fonction démocratique suprême » de la Cour constitutionnelle vise à imposer au législateur un « acte de légitimité démocratique renforcée», à savoir la Constitution, et à en vérifier le respect. Dans la jurisprudence de la Cour, aucune limitation à l’exercice de ses fonctions en raison de la « dimension politique d’un litige de droit constitutionnel » ne peut être identifiée. Ces dernières années, la jurisprudence de la Cour autrichienne a inclus des affaires traitant de questions moralement controversées telles que la médecine reproductive, le suicide assisté, les technologies numériques (vote électronique, stockage de données, surveillance </w:t>
      </w:r>
      <w:r w:rsidR="00073C3A" w:rsidRPr="003A3218">
        <w:rPr>
          <w:rFonts w:ascii="Times New Roman" w:hAnsi="Times New Roman"/>
          <w:sz w:val="24"/>
          <w:szCs w:val="24"/>
          <w:lang w:val="fr-FR"/>
        </w:rPr>
        <w:t xml:space="preserve">par </w:t>
      </w:r>
      <w:r w:rsidRPr="003A3218">
        <w:rPr>
          <w:rFonts w:ascii="Times New Roman" w:hAnsi="Times New Roman"/>
          <w:sz w:val="24"/>
          <w:szCs w:val="24"/>
          <w:lang w:val="fr-FR"/>
        </w:rPr>
        <w:t xml:space="preserve">l’État </w:t>
      </w:r>
      <w:r w:rsidR="00073C3A" w:rsidRPr="003A3218">
        <w:rPr>
          <w:rFonts w:ascii="Times New Roman" w:hAnsi="Times New Roman"/>
          <w:sz w:val="24"/>
          <w:szCs w:val="24"/>
          <w:lang w:val="fr-FR"/>
        </w:rPr>
        <w:t xml:space="preserve">en </w:t>
      </w:r>
      <w:r w:rsidRPr="003A3218">
        <w:rPr>
          <w:rFonts w:ascii="Times New Roman" w:hAnsi="Times New Roman"/>
          <w:sz w:val="24"/>
          <w:szCs w:val="24"/>
          <w:lang w:val="fr-FR"/>
        </w:rPr>
        <w:t>utilisa</w:t>
      </w:r>
      <w:r w:rsidR="00073C3A" w:rsidRPr="003A3218">
        <w:rPr>
          <w:rFonts w:ascii="Times New Roman" w:hAnsi="Times New Roman"/>
          <w:sz w:val="24"/>
          <w:szCs w:val="24"/>
          <w:lang w:val="fr-FR"/>
        </w:rPr>
        <w:t xml:space="preserve">nt </w:t>
      </w:r>
      <w:r w:rsidRPr="003A3218">
        <w:rPr>
          <w:rFonts w:ascii="Times New Roman" w:hAnsi="Times New Roman"/>
          <w:sz w:val="24"/>
          <w:szCs w:val="24"/>
          <w:lang w:val="fr-FR"/>
        </w:rPr>
        <w:t>de</w:t>
      </w:r>
      <w:r w:rsidR="00073C3A" w:rsidRPr="003A3218">
        <w:rPr>
          <w:rFonts w:ascii="Times New Roman" w:hAnsi="Times New Roman"/>
          <w:sz w:val="24"/>
          <w:szCs w:val="24"/>
          <w:lang w:val="fr-FR"/>
        </w:rPr>
        <w:t>s</w:t>
      </w:r>
      <w:r w:rsidRPr="003A3218">
        <w:rPr>
          <w:rFonts w:ascii="Times New Roman" w:hAnsi="Times New Roman"/>
          <w:sz w:val="24"/>
          <w:szCs w:val="24"/>
          <w:lang w:val="fr-FR"/>
        </w:rPr>
        <w:t xml:space="preserve"> </w:t>
      </w:r>
      <w:r w:rsidR="00073C3A" w:rsidRPr="003A3218">
        <w:rPr>
          <w:rFonts w:ascii="Times New Roman" w:hAnsi="Times New Roman"/>
          <w:sz w:val="24"/>
          <w:szCs w:val="24"/>
          <w:lang w:val="fr-FR"/>
        </w:rPr>
        <w:t xml:space="preserve">programmes informatiques de type </w:t>
      </w:r>
      <w:r w:rsidR="00E81427" w:rsidRPr="003A3218">
        <w:rPr>
          <w:rFonts w:ascii="Times New Roman" w:hAnsi="Times New Roman"/>
          <w:sz w:val="24"/>
          <w:szCs w:val="24"/>
          <w:lang w:val="fr-FR"/>
        </w:rPr>
        <w:t>cheval de Troie</w:t>
      </w:r>
      <w:r w:rsidRPr="003A3218">
        <w:rPr>
          <w:rFonts w:ascii="Times New Roman" w:hAnsi="Times New Roman"/>
          <w:sz w:val="24"/>
          <w:szCs w:val="24"/>
          <w:lang w:val="fr-FR"/>
        </w:rPr>
        <w:t xml:space="preserve">), des questions de droit de la famille telles que les mariages entre personnes de même sexe, l’introduction d’un troisième sexe dans les registres d’état civil et la garde parentale, ou des questions ayant des conséquences budgétaires </w:t>
      </w:r>
      <w:r w:rsidR="00E81427" w:rsidRPr="003A3218">
        <w:rPr>
          <w:rFonts w:ascii="Times New Roman" w:hAnsi="Times New Roman"/>
          <w:sz w:val="24"/>
          <w:szCs w:val="24"/>
          <w:lang w:val="fr-FR"/>
        </w:rPr>
        <w:t>significatives</w:t>
      </w:r>
      <w:r w:rsidRPr="003A3218">
        <w:rPr>
          <w:rFonts w:ascii="Times New Roman" w:hAnsi="Times New Roman"/>
          <w:sz w:val="24"/>
          <w:szCs w:val="24"/>
          <w:lang w:val="fr-FR"/>
        </w:rPr>
        <w:t>, telles que celles liées à l’aide financière pendant la pandémie de COVID-19.</w:t>
      </w:r>
    </w:p>
    <w:p w14:paraId="28047C2C"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La Cour constitutionnelle fédérale allemande n’applique pas de normes morales de contrôle lorsqu’elle résout des questions moralement controversées. Si la norme constitutionnelle de contrôle</w:t>
      </w:r>
      <w:r w:rsidR="00E81427" w:rsidRPr="003A3218">
        <w:rPr>
          <w:rFonts w:ascii="Times New Roman" w:hAnsi="Times New Roman"/>
          <w:sz w:val="24"/>
          <w:szCs w:val="24"/>
          <w:lang w:val="fr-FR"/>
        </w:rPr>
        <w:t xml:space="preserve"> est</w:t>
      </w:r>
      <w:r w:rsidRPr="003A3218">
        <w:rPr>
          <w:rFonts w:ascii="Times New Roman" w:hAnsi="Times New Roman"/>
          <w:sz w:val="24"/>
          <w:szCs w:val="24"/>
          <w:lang w:val="fr-FR"/>
        </w:rPr>
        <w:t xml:space="preserve"> </w:t>
      </w:r>
      <w:r w:rsidR="00E81427" w:rsidRPr="003A3218">
        <w:rPr>
          <w:rFonts w:ascii="Times New Roman" w:hAnsi="Times New Roman"/>
          <w:sz w:val="24"/>
          <w:szCs w:val="24"/>
          <w:lang w:val="fr-FR"/>
        </w:rPr>
        <w:t xml:space="preserve">sans ambiguïté et </w:t>
      </w:r>
      <w:r w:rsidRPr="003A3218">
        <w:rPr>
          <w:rFonts w:ascii="Times New Roman" w:hAnsi="Times New Roman"/>
          <w:sz w:val="24"/>
          <w:szCs w:val="24"/>
          <w:lang w:val="fr-FR"/>
        </w:rPr>
        <w:t xml:space="preserve">l’application de la norme de contrôle dans un cas concret est suffisamment claire, il importe peu que le résultat soit moralement controversé ou non. La Cour constitutionnelle fédérale n’adapte pas ses décisions en fonction de normes éthiques, car la définition de ces normes n’est pas claire. Cependant, on peut supposer que la majorité de la population ne développera pas de normes morales contraires aux exigences constitutionnelles dans un ordre fondamental libre et démocratique </w:t>
      </w:r>
      <w:r w:rsidRPr="003A3218">
        <w:rPr>
          <w:rFonts w:ascii="Times New Roman" w:hAnsi="Times New Roman"/>
          <w:color w:val="000000"/>
          <w:sz w:val="24"/>
          <w:szCs w:val="24"/>
          <w:lang w:val="fr-FR"/>
        </w:rPr>
        <w:t>tel que l’ordre</w:t>
      </w:r>
      <w:r w:rsidRPr="003A3218">
        <w:rPr>
          <w:rFonts w:ascii="Times New Roman" w:hAnsi="Times New Roman"/>
          <w:sz w:val="24"/>
          <w:szCs w:val="24"/>
          <w:lang w:val="fr-FR"/>
        </w:rPr>
        <w:t xml:space="preserve"> imposé par la Loi fondamentale. Le fait qu’une question particulière soit politiquement sensible ou non n’a pas d’importance pour la Cour constitutionnelle fédérale. Les décisions ne sont problématiques que lorsque la norme constitutionnelle de contrôle n’est pas claire. Toutefois, la Constitution donne généralement au législateur une grande </w:t>
      </w:r>
      <w:r w:rsidR="002D737D" w:rsidRPr="003A3218">
        <w:rPr>
          <w:rFonts w:ascii="Times New Roman" w:hAnsi="Times New Roman"/>
          <w:sz w:val="24"/>
          <w:szCs w:val="24"/>
          <w:lang w:val="fr-FR"/>
        </w:rPr>
        <w:t>marge</w:t>
      </w:r>
      <w:r w:rsidRPr="003A3218">
        <w:rPr>
          <w:rFonts w:ascii="Times New Roman" w:hAnsi="Times New Roman"/>
          <w:sz w:val="24"/>
          <w:szCs w:val="24"/>
          <w:lang w:val="fr-FR"/>
        </w:rPr>
        <w:t xml:space="preserve"> pour concevoir des questions fortement contestées sur le plan politique et qui pourraient être </w:t>
      </w:r>
      <w:r w:rsidR="002D737D" w:rsidRPr="003A3218">
        <w:rPr>
          <w:rFonts w:ascii="Times New Roman" w:hAnsi="Times New Roman"/>
          <w:sz w:val="24"/>
          <w:szCs w:val="24"/>
          <w:lang w:val="fr-FR"/>
        </w:rPr>
        <w:t>décrites</w:t>
      </w:r>
      <w:r w:rsidRPr="003A3218">
        <w:rPr>
          <w:rFonts w:ascii="Times New Roman" w:hAnsi="Times New Roman"/>
          <w:sz w:val="24"/>
          <w:szCs w:val="24"/>
          <w:lang w:val="fr-FR"/>
        </w:rPr>
        <w:t xml:space="preserve"> </w:t>
      </w:r>
      <w:r w:rsidR="002D737D" w:rsidRPr="003A3218">
        <w:rPr>
          <w:rFonts w:ascii="Times New Roman" w:hAnsi="Times New Roman"/>
          <w:sz w:val="24"/>
          <w:szCs w:val="24"/>
          <w:lang w:val="fr-FR"/>
        </w:rPr>
        <w:t xml:space="preserve">comme </w:t>
      </w:r>
      <w:r w:rsidRPr="003A3218">
        <w:rPr>
          <w:rFonts w:ascii="Times New Roman" w:hAnsi="Times New Roman"/>
          <w:sz w:val="24"/>
          <w:szCs w:val="24"/>
          <w:lang w:val="fr-FR"/>
        </w:rPr>
        <w:t xml:space="preserve">politiquement sensibles. La Cour </w:t>
      </w:r>
      <w:r w:rsidRPr="003A3218">
        <w:rPr>
          <w:rFonts w:ascii="Times New Roman" w:hAnsi="Times New Roman"/>
          <w:sz w:val="24"/>
          <w:szCs w:val="24"/>
          <w:lang w:val="fr-FR"/>
        </w:rPr>
        <w:lastRenderedPageBreak/>
        <w:t xml:space="preserve">constitutionnelle fédérale tiendra dûment compte de cette marge lorsqu’elle rendra ses décisions. Toutefois, ce respect ne dépend pas de la nature controversée de la décision parlementaire dans une question politiquement sensible. En ce qui concerne l’allocation de ressources limitées, le caractère limité ne crée pas en soi une norme qui influencerait la norme de contrôle de la Cour constitutionnelle fédérale. La Cour constitutionnelle allemande considère que la Constitution ne définit les </w:t>
      </w:r>
      <w:r w:rsidR="002D737D" w:rsidRPr="003A3218">
        <w:rPr>
          <w:rFonts w:ascii="Times New Roman" w:hAnsi="Times New Roman"/>
          <w:sz w:val="24"/>
          <w:szCs w:val="24"/>
          <w:lang w:val="fr-FR"/>
        </w:rPr>
        <w:t>revendication</w:t>
      </w:r>
      <w:r w:rsidR="008E543F" w:rsidRPr="003A3218">
        <w:rPr>
          <w:rFonts w:ascii="Times New Roman" w:hAnsi="Times New Roman"/>
          <w:sz w:val="24"/>
          <w:szCs w:val="24"/>
          <w:lang w:val="fr-FR"/>
        </w:rPr>
        <w:t>s</w:t>
      </w:r>
      <w:r w:rsidR="002D737D" w:rsidRPr="003A3218">
        <w:rPr>
          <w:rFonts w:ascii="Times New Roman" w:hAnsi="Times New Roman"/>
          <w:sz w:val="24"/>
          <w:szCs w:val="24"/>
          <w:lang w:val="fr-FR"/>
        </w:rPr>
        <w:t xml:space="preserve"> </w:t>
      </w:r>
      <w:r w:rsidRPr="003A3218">
        <w:rPr>
          <w:rFonts w:ascii="Times New Roman" w:hAnsi="Times New Roman"/>
          <w:sz w:val="24"/>
          <w:szCs w:val="24"/>
          <w:lang w:val="fr-FR"/>
        </w:rPr>
        <w:t>financières que dans une mesure telle que le législateur dispose d’une marge de manœuvre suffisante pour décider des questions budgétaires essentielles. La Cour constitutionnelle n’est donc pas tenue d’examiner les implications financières d’une décision prise d’office.</w:t>
      </w:r>
    </w:p>
    <w:p w14:paraId="4F1C5CB4"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Selon la Cour</w:t>
      </w:r>
      <w:r w:rsidR="008E543F" w:rsidRPr="003A3218">
        <w:rPr>
          <w:rFonts w:ascii="Times New Roman" w:hAnsi="Times New Roman"/>
          <w:sz w:val="24"/>
          <w:szCs w:val="24"/>
          <w:lang w:val="fr-FR"/>
        </w:rPr>
        <w:t xml:space="preserve"> Suprême</w:t>
      </w:r>
      <w:r w:rsidRPr="003A3218">
        <w:rPr>
          <w:rFonts w:ascii="Times New Roman" w:hAnsi="Times New Roman"/>
          <w:sz w:val="24"/>
          <w:szCs w:val="24"/>
          <w:lang w:val="fr-FR"/>
        </w:rPr>
        <w:t xml:space="preserve"> </w:t>
      </w:r>
      <w:r w:rsidR="008E543F" w:rsidRPr="003A3218">
        <w:rPr>
          <w:rFonts w:ascii="Times New Roman" w:hAnsi="Times New Roman"/>
          <w:sz w:val="24"/>
          <w:szCs w:val="24"/>
          <w:lang w:val="fr-FR"/>
        </w:rPr>
        <w:t>d’Irlande</w:t>
      </w:r>
      <w:r w:rsidRPr="003A3218">
        <w:rPr>
          <w:rFonts w:ascii="Times New Roman" w:hAnsi="Times New Roman"/>
          <w:sz w:val="24"/>
          <w:szCs w:val="24"/>
          <w:lang w:val="fr-FR"/>
        </w:rPr>
        <w:t xml:space="preserve">, la déférence n’est pas un concept statique. Il existe des degrés de </w:t>
      </w:r>
      <w:r w:rsidR="008E543F" w:rsidRPr="003A3218">
        <w:rPr>
          <w:rFonts w:ascii="Times New Roman" w:hAnsi="Times New Roman"/>
          <w:sz w:val="24"/>
          <w:szCs w:val="24"/>
          <w:lang w:val="fr-FR"/>
        </w:rPr>
        <w:t xml:space="preserve">manifestation de la </w:t>
      </w:r>
      <w:r w:rsidRPr="003A3218">
        <w:rPr>
          <w:rFonts w:ascii="Times New Roman" w:hAnsi="Times New Roman"/>
          <w:sz w:val="24"/>
          <w:szCs w:val="24"/>
          <w:lang w:val="fr-FR"/>
        </w:rPr>
        <w:t xml:space="preserve">déférence. La déférence est plus prononcée dans les domaines que la Constitution irlandaise attribue à la branche élue et législative du gouvernement, tels que, par exemple, la conduite des affaires étrangères, l’équité des mesures fiscales ou l’allocation de ressources </w:t>
      </w:r>
      <w:r w:rsidR="008E543F" w:rsidRPr="003A3218">
        <w:rPr>
          <w:rFonts w:ascii="Times New Roman" w:hAnsi="Times New Roman"/>
          <w:sz w:val="24"/>
          <w:szCs w:val="24"/>
          <w:lang w:val="fr-FR"/>
        </w:rPr>
        <w:t>limitées</w:t>
      </w:r>
      <w:r w:rsidRPr="003A3218">
        <w:rPr>
          <w:rFonts w:ascii="Times New Roman" w:hAnsi="Times New Roman"/>
          <w:sz w:val="24"/>
          <w:szCs w:val="24"/>
          <w:lang w:val="fr-FR"/>
        </w:rPr>
        <w:t>.</w:t>
      </w:r>
    </w:p>
    <w:p w14:paraId="0E1D527D"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Pour la Cour constitutionnelle de Bosnie-Herzégovine, il n’existe pas de domaines inaccessibles ou prédéterminés sans responsabilité juridique, ni de questions que la Cour constitutionnelle ne peut pas trancher. Dans son processus décisionnel, la Cour constitutionnelle n’est soumise qu’aux limites fixées par la Constitution de Bosnie-Herzégovine et le Règlement de la Cour constitutionnelle.</w:t>
      </w:r>
    </w:p>
    <w:p w14:paraId="15F24ADF"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tchèque ne dispose pas d’un spectre </w:t>
      </w:r>
      <w:r w:rsidR="002B45F4" w:rsidRPr="003A3218">
        <w:rPr>
          <w:rFonts w:ascii="Times New Roman" w:hAnsi="Times New Roman"/>
          <w:sz w:val="24"/>
          <w:szCs w:val="24"/>
          <w:lang w:val="fr-FR"/>
        </w:rPr>
        <w:t xml:space="preserve">clairement défini </w:t>
      </w:r>
      <w:r w:rsidRPr="003A3218">
        <w:rPr>
          <w:rFonts w:ascii="Times New Roman" w:hAnsi="Times New Roman"/>
          <w:sz w:val="24"/>
          <w:szCs w:val="24"/>
          <w:lang w:val="fr-FR"/>
        </w:rPr>
        <w:t xml:space="preserve">de </w:t>
      </w:r>
      <w:r w:rsidR="002B45F4" w:rsidRPr="003A3218">
        <w:rPr>
          <w:rFonts w:ascii="Times New Roman" w:hAnsi="Times New Roman"/>
          <w:sz w:val="24"/>
          <w:szCs w:val="24"/>
          <w:lang w:val="fr-FR"/>
        </w:rPr>
        <w:t xml:space="preserve">la </w:t>
      </w:r>
      <w:r w:rsidRPr="003A3218">
        <w:rPr>
          <w:rFonts w:ascii="Times New Roman" w:hAnsi="Times New Roman"/>
          <w:sz w:val="24"/>
          <w:szCs w:val="24"/>
          <w:lang w:val="fr-FR"/>
        </w:rPr>
        <w:t xml:space="preserve">déférence. Cependant, elle exerce un contrôle </w:t>
      </w:r>
      <w:r w:rsidR="00EC4D6F" w:rsidRPr="003A3218">
        <w:rPr>
          <w:rFonts w:ascii="Times New Roman" w:hAnsi="Times New Roman"/>
          <w:sz w:val="24"/>
          <w:szCs w:val="24"/>
          <w:lang w:val="fr-FR"/>
        </w:rPr>
        <w:t xml:space="preserve">dans lequel elle fait preuve de la </w:t>
      </w:r>
      <w:r w:rsidRPr="003A3218">
        <w:rPr>
          <w:rFonts w:ascii="Times New Roman" w:hAnsi="Times New Roman"/>
          <w:sz w:val="24"/>
          <w:szCs w:val="24"/>
          <w:lang w:val="fr-FR"/>
        </w:rPr>
        <w:t>déféren</w:t>
      </w:r>
      <w:r w:rsidR="00EC4D6F" w:rsidRPr="003A3218">
        <w:rPr>
          <w:rFonts w:ascii="Times New Roman" w:hAnsi="Times New Roman"/>
          <w:sz w:val="24"/>
          <w:szCs w:val="24"/>
          <w:lang w:val="fr-FR"/>
        </w:rPr>
        <w:t xml:space="preserve">ce </w:t>
      </w:r>
      <w:r w:rsidRPr="003A3218">
        <w:rPr>
          <w:rFonts w:ascii="Times New Roman" w:hAnsi="Times New Roman"/>
          <w:sz w:val="24"/>
          <w:szCs w:val="24"/>
          <w:lang w:val="fr-FR"/>
        </w:rPr>
        <w:t xml:space="preserve">dans plusieurs domaines, et ce contrôle plus limité se reflète </w:t>
      </w:r>
      <w:r w:rsidR="00EC4D6F" w:rsidRPr="003A3218">
        <w:rPr>
          <w:rFonts w:ascii="Times New Roman" w:hAnsi="Times New Roman"/>
          <w:sz w:val="24"/>
          <w:szCs w:val="24"/>
          <w:lang w:val="fr-FR"/>
        </w:rPr>
        <w:t>par</w:t>
      </w:r>
      <w:r w:rsidRPr="003A3218">
        <w:rPr>
          <w:rFonts w:ascii="Times New Roman" w:hAnsi="Times New Roman"/>
          <w:sz w:val="24"/>
          <w:szCs w:val="24"/>
          <w:lang w:val="fr-FR"/>
        </w:rPr>
        <w:t xml:space="preserve"> le niveau </w:t>
      </w:r>
      <w:r w:rsidR="00EC4D6F" w:rsidRPr="003A3218">
        <w:rPr>
          <w:rFonts w:ascii="Times New Roman" w:hAnsi="Times New Roman"/>
          <w:sz w:val="24"/>
          <w:szCs w:val="24"/>
          <w:lang w:val="fr-FR"/>
        </w:rPr>
        <w:t xml:space="preserve">plus réduit </w:t>
      </w:r>
      <w:r w:rsidRPr="003A3218">
        <w:rPr>
          <w:rFonts w:ascii="Times New Roman" w:hAnsi="Times New Roman"/>
          <w:sz w:val="24"/>
          <w:szCs w:val="24"/>
          <w:lang w:val="fr-FR"/>
        </w:rPr>
        <w:t>d’intensité du contrôle des actes du législateur, en particulier dans le cas des réglementations de politique</w:t>
      </w:r>
      <w:r w:rsidR="00EC4D6F" w:rsidRPr="003A3218">
        <w:rPr>
          <w:rFonts w:ascii="Times New Roman" w:hAnsi="Times New Roman"/>
          <w:sz w:val="24"/>
          <w:szCs w:val="24"/>
          <w:lang w:val="fr-FR"/>
        </w:rPr>
        <w:t>s</w:t>
      </w:r>
      <w:r w:rsidRPr="003A3218">
        <w:rPr>
          <w:rFonts w:ascii="Times New Roman" w:hAnsi="Times New Roman"/>
          <w:sz w:val="24"/>
          <w:szCs w:val="24"/>
          <w:lang w:val="fr-FR"/>
        </w:rPr>
        <w:t xml:space="preserve"> publique</w:t>
      </w:r>
      <w:r w:rsidR="00EC4D6F" w:rsidRPr="003A3218">
        <w:rPr>
          <w:rFonts w:ascii="Times New Roman" w:hAnsi="Times New Roman"/>
          <w:sz w:val="24"/>
          <w:szCs w:val="24"/>
          <w:lang w:val="fr-FR"/>
        </w:rPr>
        <w:t>s</w:t>
      </w:r>
      <w:r w:rsidRPr="003A3218">
        <w:rPr>
          <w:rFonts w:ascii="Times New Roman" w:hAnsi="Times New Roman"/>
          <w:sz w:val="24"/>
          <w:szCs w:val="24"/>
          <w:lang w:val="fr-FR"/>
        </w:rPr>
        <w:t xml:space="preserve">, où le législateur dispose d’une marge </w:t>
      </w:r>
      <w:r w:rsidR="00EC4D6F" w:rsidRPr="003A3218">
        <w:rPr>
          <w:rFonts w:ascii="Times New Roman" w:hAnsi="Times New Roman"/>
          <w:sz w:val="24"/>
          <w:szCs w:val="24"/>
          <w:lang w:val="fr-FR"/>
        </w:rPr>
        <w:t xml:space="preserve">discrétionnaire large </w:t>
      </w:r>
      <w:r w:rsidRPr="003A3218">
        <w:rPr>
          <w:rFonts w:ascii="Times New Roman" w:hAnsi="Times New Roman"/>
          <w:sz w:val="24"/>
          <w:szCs w:val="24"/>
          <w:lang w:val="fr-FR"/>
        </w:rPr>
        <w:t xml:space="preserve">et où il porte la responsabilité politique </w:t>
      </w:r>
      <w:r w:rsidR="00EC4D6F" w:rsidRPr="003A3218">
        <w:rPr>
          <w:rFonts w:ascii="Times New Roman" w:hAnsi="Times New Roman"/>
          <w:sz w:val="24"/>
          <w:szCs w:val="24"/>
          <w:lang w:val="fr-FR"/>
        </w:rPr>
        <w:t>pour l</w:t>
      </w:r>
      <w:r w:rsidRPr="003A3218">
        <w:rPr>
          <w:rFonts w:ascii="Times New Roman" w:hAnsi="Times New Roman"/>
          <w:sz w:val="24"/>
          <w:szCs w:val="24"/>
          <w:lang w:val="fr-FR"/>
        </w:rPr>
        <w:t xml:space="preserve">es décisions prises. Par conséquent, la Cour a toujours fait preuve de retenue lors de l’examen de la législation fiscale, ainsi que, de manière générale, dans les questions de politique économique. La Cour constitutionnelle de la République tchèque fait preuve de la plus grande retenue dans les questions susceptibles de susciter la controverse dans la société, telles que la vaccination obligatoire, l’adoption d’enfants par des couples de même sexe ou la réglementation juridique de l’établissement du sexe ou du changement de sexe. </w:t>
      </w:r>
    </w:p>
    <w:p w14:paraId="0B2F0F1A"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sz w:val="24"/>
          <w:szCs w:val="24"/>
          <w:lang w:val="fr-FR"/>
        </w:rPr>
        <w:t xml:space="preserve">Dans l’exercice de ses fonctions, la Cour constitutionnelle de Slovénie se trouve souvent à l’intersection du droit et de la politique. </w:t>
      </w:r>
      <w:r w:rsidR="00142753" w:rsidRPr="003A3218">
        <w:rPr>
          <w:rFonts w:ascii="Times New Roman" w:hAnsi="Times New Roman"/>
          <w:sz w:val="24"/>
          <w:szCs w:val="24"/>
          <w:lang w:val="fr-FR"/>
        </w:rPr>
        <w:t xml:space="preserve">Elle ne refuse pas </w:t>
      </w:r>
      <w:r w:rsidR="00142753" w:rsidRPr="003A3218">
        <w:rPr>
          <w:rFonts w:ascii="Times New Roman" w:hAnsi="Times New Roman"/>
          <w:i/>
          <w:sz w:val="24"/>
          <w:szCs w:val="24"/>
          <w:lang w:val="fr-FR"/>
        </w:rPr>
        <w:t>a priori</w:t>
      </w:r>
      <w:r w:rsidR="00142753" w:rsidRPr="003A3218">
        <w:rPr>
          <w:rFonts w:ascii="Times New Roman" w:hAnsi="Times New Roman"/>
          <w:sz w:val="24"/>
          <w:szCs w:val="24"/>
          <w:lang w:val="fr-FR"/>
        </w:rPr>
        <w:t xml:space="preserve"> de se prononcer sur des questions politiques si elles ont une certaine dimension juridique </w:t>
      </w:r>
      <w:r w:rsidRPr="003A3218">
        <w:rPr>
          <w:rFonts w:ascii="Times New Roman" w:hAnsi="Times New Roman"/>
          <w:sz w:val="24"/>
          <w:szCs w:val="24"/>
          <w:lang w:val="fr-FR"/>
        </w:rPr>
        <w:t xml:space="preserve">Dans une de ses décisions concernant le budget de l’Etat, la Cour a expliqué que le budget est un acte juridique abstrait et général d’un type </w:t>
      </w:r>
      <w:r w:rsidR="00142753" w:rsidRPr="003A3218">
        <w:rPr>
          <w:rFonts w:ascii="Times New Roman" w:hAnsi="Times New Roman"/>
          <w:sz w:val="24"/>
          <w:szCs w:val="24"/>
          <w:lang w:val="fr-FR"/>
        </w:rPr>
        <w:t>précis</w:t>
      </w:r>
      <w:r w:rsidRPr="003A3218">
        <w:rPr>
          <w:rFonts w:ascii="Times New Roman" w:hAnsi="Times New Roman"/>
          <w:sz w:val="24"/>
          <w:szCs w:val="24"/>
          <w:lang w:val="fr-FR"/>
        </w:rPr>
        <w:t xml:space="preserve">, qui </w:t>
      </w:r>
      <w:r w:rsidR="00142753" w:rsidRPr="003A3218">
        <w:rPr>
          <w:rFonts w:ascii="Times New Roman" w:hAnsi="Times New Roman"/>
          <w:sz w:val="24"/>
          <w:szCs w:val="24"/>
          <w:lang w:val="fr-FR"/>
        </w:rPr>
        <w:t>manifeste</w:t>
      </w:r>
      <w:r w:rsidRPr="003A3218">
        <w:rPr>
          <w:rFonts w:ascii="Times New Roman" w:hAnsi="Times New Roman"/>
          <w:sz w:val="24"/>
          <w:szCs w:val="24"/>
          <w:lang w:val="fr-FR"/>
        </w:rPr>
        <w:t xml:space="preserve"> des effets externes et </w:t>
      </w:r>
      <w:r w:rsidR="00142753" w:rsidRPr="003A3218">
        <w:rPr>
          <w:rFonts w:ascii="Times New Roman" w:hAnsi="Times New Roman"/>
          <w:sz w:val="24"/>
          <w:szCs w:val="24"/>
          <w:lang w:val="fr-FR"/>
        </w:rPr>
        <w:t xml:space="preserve">qui a </w:t>
      </w:r>
      <w:r w:rsidRPr="003A3218">
        <w:rPr>
          <w:rFonts w:ascii="Times New Roman" w:hAnsi="Times New Roman"/>
          <w:sz w:val="24"/>
          <w:szCs w:val="24"/>
          <w:lang w:val="fr-FR"/>
        </w:rPr>
        <w:t>la force de la loi, et doit donc être doté du caractère juridique d’un règlement avec le statut hiérarchique d’une loi, la Cour étant compétente pour vérifier sa conformité avec la Constitution</w:t>
      </w:r>
      <w:r w:rsidRPr="003A3218">
        <w:rPr>
          <w:rFonts w:ascii="Times New Roman" w:hAnsi="Times New Roman"/>
          <w:color w:val="000000"/>
          <w:sz w:val="24"/>
          <w:szCs w:val="24"/>
          <w:lang w:val="fr-FR"/>
        </w:rPr>
        <w:t>.</w:t>
      </w:r>
    </w:p>
    <w:p w14:paraId="276313DE" w14:textId="77777777" w:rsidR="008F2AB7" w:rsidRPr="003A3218" w:rsidRDefault="008F2AB7" w:rsidP="00C10554">
      <w:pPr>
        <w:spacing w:line="276" w:lineRule="auto"/>
        <w:jc w:val="both"/>
        <w:rPr>
          <w:rStyle w:val="Ohne"/>
          <w:rFonts w:ascii="Times New Roman" w:hAnsi="Times New Roman"/>
          <w:sz w:val="24"/>
          <w:szCs w:val="24"/>
          <w:lang w:val="fr-FR"/>
        </w:rPr>
      </w:pPr>
      <w:r w:rsidRPr="003A3218">
        <w:rPr>
          <w:rStyle w:val="Ohne"/>
          <w:rFonts w:ascii="Times New Roman" w:hAnsi="Times New Roman"/>
          <w:sz w:val="24"/>
          <w:szCs w:val="24"/>
          <w:lang w:val="fr-FR"/>
        </w:rPr>
        <w:t>En ce qui concerne les zones inaccessibles, la Cour constitutionnelle du Liechtenstein exclut du contrôle de constitutionnalité, sur la base de l’article 29, paragraphe 2, de la Constitution, le domaine de la politique étrangère. Ce n’est que dans ce cadre étroit qu’elle se réfère à l’autolimitation judiciaire ou à la théorie de la question politique.</w:t>
      </w:r>
    </w:p>
    <w:p w14:paraId="1EFDE0B3" w14:textId="77777777" w:rsidR="008F2AB7" w:rsidRPr="003A3218" w:rsidRDefault="008F2AB7" w:rsidP="00C10554">
      <w:pPr>
        <w:spacing w:line="276" w:lineRule="auto"/>
        <w:jc w:val="both"/>
        <w:rPr>
          <w:rStyle w:val="Ohne"/>
          <w:rFonts w:ascii="Times New Roman" w:hAnsi="Times New Roman"/>
          <w:sz w:val="24"/>
          <w:szCs w:val="24"/>
          <w:lang w:val="fr-FR"/>
        </w:rPr>
      </w:pPr>
      <w:r w:rsidRPr="003A3218">
        <w:rPr>
          <w:rStyle w:val="Ohne"/>
          <w:rFonts w:ascii="Times New Roman" w:hAnsi="Times New Roman"/>
          <w:sz w:val="24"/>
          <w:szCs w:val="24"/>
          <w:lang w:val="fr-FR"/>
        </w:rPr>
        <w:lastRenderedPageBreak/>
        <w:t>La Cour constitutionnelle de Géorgie, par exemple, a défini les circonstances dans lesquelles elle accorde généralement une large marge d’appréciation à une autre branche de l’État pour réglementer une question, ce qui cond</w:t>
      </w:r>
      <w:r w:rsidR="00022DF3" w:rsidRPr="003A3218">
        <w:rPr>
          <w:rStyle w:val="Ohne"/>
          <w:rFonts w:ascii="Times New Roman" w:hAnsi="Times New Roman"/>
          <w:sz w:val="24"/>
          <w:szCs w:val="24"/>
          <w:lang w:val="fr-FR"/>
        </w:rPr>
        <w:t>uit à un contrôle étroit par la Cour</w:t>
      </w:r>
      <w:r w:rsidRPr="003A3218">
        <w:rPr>
          <w:rStyle w:val="Ohne"/>
          <w:rFonts w:ascii="Times New Roman" w:hAnsi="Times New Roman"/>
          <w:sz w:val="24"/>
          <w:szCs w:val="24"/>
          <w:lang w:val="fr-FR"/>
        </w:rPr>
        <w:t xml:space="preserve">. Ces circonstances comprennent : la politique sociale, économique et fiscale de l’État ; la constitutionnalité des sanctions ; la défense et l’administration des forces militaires par l’État ; les ressources limitées de l’État ; le choix du système électoral et son administration ; les restrictions neutres </w:t>
      </w:r>
      <w:r w:rsidR="00022DF3" w:rsidRPr="003A3218">
        <w:rPr>
          <w:rStyle w:val="Ohne"/>
          <w:rFonts w:ascii="Times New Roman" w:hAnsi="Times New Roman"/>
          <w:sz w:val="24"/>
          <w:szCs w:val="24"/>
          <w:lang w:val="fr-FR"/>
        </w:rPr>
        <w:t>de la perspective</w:t>
      </w:r>
      <w:r w:rsidRPr="003A3218">
        <w:rPr>
          <w:rStyle w:val="Ohne"/>
          <w:rFonts w:ascii="Times New Roman" w:hAnsi="Times New Roman"/>
          <w:sz w:val="24"/>
          <w:szCs w:val="24"/>
          <w:lang w:val="fr-FR"/>
        </w:rPr>
        <w:t xml:space="preserve"> du contenu </w:t>
      </w:r>
      <w:r w:rsidR="00022DF3" w:rsidRPr="003A3218">
        <w:rPr>
          <w:rStyle w:val="Ohne"/>
          <w:rFonts w:ascii="Times New Roman" w:hAnsi="Times New Roman"/>
          <w:sz w:val="24"/>
          <w:szCs w:val="24"/>
          <w:lang w:val="fr-FR"/>
        </w:rPr>
        <w:t xml:space="preserve">imposées </w:t>
      </w:r>
      <w:r w:rsidRPr="003A3218">
        <w:rPr>
          <w:rStyle w:val="Ohne"/>
          <w:rFonts w:ascii="Times New Roman" w:hAnsi="Times New Roman"/>
          <w:sz w:val="24"/>
          <w:szCs w:val="24"/>
          <w:lang w:val="fr-FR"/>
        </w:rPr>
        <w:t>à l’exercice de la liberté d’expression ; les attentes légitimes en matière d</w:t>
      </w:r>
      <w:r w:rsidR="00022DF3" w:rsidRPr="003A3218">
        <w:rPr>
          <w:rStyle w:val="Ohne"/>
          <w:rFonts w:ascii="Times New Roman" w:hAnsi="Times New Roman"/>
          <w:sz w:val="24"/>
          <w:szCs w:val="24"/>
          <w:lang w:val="fr-FR"/>
        </w:rPr>
        <w:t>u</w:t>
      </w:r>
      <w:r w:rsidRPr="003A3218">
        <w:rPr>
          <w:rStyle w:val="Ohne"/>
          <w:rFonts w:ascii="Times New Roman" w:hAnsi="Times New Roman"/>
          <w:sz w:val="24"/>
          <w:szCs w:val="24"/>
          <w:lang w:val="fr-FR"/>
        </w:rPr>
        <w:t xml:space="preserve"> droit de propriété et l</w:t>
      </w:r>
      <w:r w:rsidR="00022DF3" w:rsidRPr="003A3218">
        <w:rPr>
          <w:rStyle w:val="Ohne"/>
          <w:rFonts w:ascii="Times New Roman" w:hAnsi="Times New Roman"/>
          <w:sz w:val="24"/>
          <w:szCs w:val="24"/>
          <w:lang w:val="fr-FR"/>
        </w:rPr>
        <w:t xml:space="preserve">e </w:t>
      </w:r>
      <w:r w:rsidRPr="003A3218">
        <w:rPr>
          <w:rStyle w:val="Ohne"/>
          <w:rFonts w:ascii="Times New Roman" w:hAnsi="Times New Roman"/>
          <w:sz w:val="24"/>
          <w:szCs w:val="24"/>
          <w:lang w:val="fr-FR"/>
        </w:rPr>
        <w:t xml:space="preserve">traitement </w:t>
      </w:r>
      <w:r w:rsidR="00022DF3" w:rsidRPr="003A3218">
        <w:rPr>
          <w:rStyle w:val="Ohne"/>
          <w:rFonts w:ascii="Times New Roman" w:hAnsi="Times New Roman"/>
          <w:sz w:val="24"/>
          <w:szCs w:val="24"/>
          <w:lang w:val="fr-FR"/>
        </w:rPr>
        <w:t xml:space="preserve">inégal </w:t>
      </w:r>
      <w:r w:rsidRPr="003A3218">
        <w:rPr>
          <w:rStyle w:val="Ohne"/>
          <w:rFonts w:ascii="Times New Roman" w:hAnsi="Times New Roman"/>
          <w:sz w:val="24"/>
          <w:szCs w:val="24"/>
          <w:lang w:val="fr-FR"/>
        </w:rPr>
        <w:t>fondé sur des critères non énumérés ou des cas d</w:t>
      </w:r>
      <w:r w:rsidR="00022DF3" w:rsidRPr="003A3218">
        <w:rPr>
          <w:rStyle w:val="Ohne"/>
          <w:rFonts w:ascii="Times New Roman" w:hAnsi="Times New Roman"/>
          <w:sz w:val="24"/>
          <w:szCs w:val="24"/>
          <w:lang w:val="fr-FR"/>
        </w:rPr>
        <w:t xml:space="preserve">e </w:t>
      </w:r>
      <w:r w:rsidRPr="003A3218">
        <w:rPr>
          <w:rStyle w:val="Ohne"/>
          <w:rFonts w:ascii="Times New Roman" w:hAnsi="Times New Roman"/>
          <w:sz w:val="24"/>
          <w:szCs w:val="24"/>
          <w:lang w:val="fr-FR"/>
        </w:rPr>
        <w:t xml:space="preserve">traitement </w:t>
      </w:r>
      <w:r w:rsidR="00022DF3" w:rsidRPr="003A3218">
        <w:rPr>
          <w:rStyle w:val="Ohne"/>
          <w:rFonts w:ascii="Times New Roman" w:hAnsi="Times New Roman"/>
          <w:sz w:val="24"/>
          <w:szCs w:val="24"/>
          <w:lang w:val="fr-FR"/>
        </w:rPr>
        <w:t xml:space="preserve">inégal </w:t>
      </w:r>
      <w:r w:rsidRPr="003A3218">
        <w:rPr>
          <w:rStyle w:val="Ohne"/>
          <w:rFonts w:ascii="Times New Roman" w:hAnsi="Times New Roman"/>
          <w:sz w:val="24"/>
          <w:szCs w:val="24"/>
          <w:lang w:val="fr-FR"/>
        </w:rPr>
        <w:t>d</w:t>
      </w:r>
      <w:r w:rsidR="00022DF3" w:rsidRPr="003A3218">
        <w:rPr>
          <w:rStyle w:val="Ohne"/>
          <w:rFonts w:ascii="Times New Roman" w:hAnsi="Times New Roman"/>
          <w:sz w:val="24"/>
          <w:szCs w:val="24"/>
          <w:lang w:val="fr-FR"/>
        </w:rPr>
        <w:t xml:space="preserve">’une </w:t>
      </w:r>
      <w:r w:rsidRPr="003A3218">
        <w:rPr>
          <w:rStyle w:val="Ohne"/>
          <w:rFonts w:ascii="Times New Roman" w:hAnsi="Times New Roman"/>
          <w:sz w:val="24"/>
          <w:szCs w:val="24"/>
          <w:lang w:val="fr-FR"/>
        </w:rPr>
        <w:t>intensité</w:t>
      </w:r>
      <w:r w:rsidR="006C54F8" w:rsidRPr="003A3218">
        <w:rPr>
          <w:rStyle w:val="Ohne"/>
          <w:rFonts w:ascii="Times New Roman" w:hAnsi="Times New Roman"/>
          <w:sz w:val="24"/>
          <w:szCs w:val="24"/>
          <w:lang w:val="fr-FR"/>
        </w:rPr>
        <w:t xml:space="preserve"> réduite</w:t>
      </w:r>
      <w:r w:rsidRPr="003A3218">
        <w:rPr>
          <w:rStyle w:val="Ohne"/>
          <w:rFonts w:ascii="Times New Roman" w:hAnsi="Times New Roman"/>
          <w:sz w:val="24"/>
          <w:szCs w:val="24"/>
          <w:lang w:val="fr-FR"/>
        </w:rPr>
        <w:t>.</w:t>
      </w:r>
    </w:p>
    <w:p w14:paraId="0CA1FD96" w14:textId="77777777" w:rsidR="008F2AB7" w:rsidRPr="003A3218" w:rsidRDefault="008F2AB7" w:rsidP="00C10554">
      <w:pPr>
        <w:spacing w:line="276" w:lineRule="auto"/>
        <w:jc w:val="both"/>
        <w:rPr>
          <w:rStyle w:val="Ohne"/>
          <w:rFonts w:ascii="Times New Roman" w:hAnsi="Times New Roman"/>
          <w:sz w:val="24"/>
          <w:szCs w:val="24"/>
          <w:lang w:val="fr-FR"/>
        </w:rPr>
      </w:pPr>
      <w:r w:rsidRPr="003A3218">
        <w:rPr>
          <w:rStyle w:val="Ohne"/>
          <w:rFonts w:ascii="Times New Roman" w:hAnsi="Times New Roman"/>
          <w:b/>
          <w:sz w:val="24"/>
          <w:szCs w:val="24"/>
          <w:lang w:val="fr-FR"/>
        </w:rPr>
        <w:t>3</w:t>
      </w:r>
      <w:r w:rsidR="00F072F2" w:rsidRPr="003A3218">
        <w:rPr>
          <w:rStyle w:val="Ohne"/>
          <w:rFonts w:ascii="Times New Roman" w:hAnsi="Times New Roman"/>
          <w:b/>
          <w:sz w:val="24"/>
          <w:szCs w:val="24"/>
          <w:lang w:val="fr-FR"/>
        </w:rPr>
        <w:t>.</w:t>
      </w:r>
      <w:r w:rsidRPr="003A3218">
        <w:rPr>
          <w:rStyle w:val="Ohne"/>
          <w:rFonts w:ascii="Times New Roman" w:hAnsi="Times New Roman"/>
          <w:sz w:val="24"/>
          <w:szCs w:val="24"/>
          <w:lang w:val="fr-FR"/>
        </w:rPr>
        <w:t xml:space="preserve"> En ce qui concerne les facteurs qui déterminent quand et comment les tribunaux doivent faire preuve de déférence, la Cour constitutionnelle d’Albanie répond que les expériences historiques dictées par les développements politiques, juridiques, économiques et sociaux dans le pays (tels que la transition d’un régime moniste à un régime démocratique) ont influencé l’élaboration de la déférence judiciaire. En particulier, la Cour </w:t>
      </w:r>
      <w:r w:rsidR="00F072F2" w:rsidRPr="003A3218">
        <w:rPr>
          <w:rStyle w:val="Ohne"/>
          <w:rFonts w:ascii="Times New Roman" w:hAnsi="Times New Roman"/>
          <w:sz w:val="24"/>
          <w:szCs w:val="24"/>
          <w:lang w:val="fr-FR"/>
        </w:rPr>
        <w:t xml:space="preserve">d’Albanie </w:t>
      </w:r>
      <w:r w:rsidRPr="003A3218">
        <w:rPr>
          <w:rStyle w:val="Ohne"/>
          <w:rFonts w:ascii="Times New Roman" w:hAnsi="Times New Roman"/>
          <w:sz w:val="24"/>
          <w:szCs w:val="24"/>
          <w:lang w:val="fr-FR"/>
        </w:rPr>
        <w:t xml:space="preserve">a souvent été appelée à examiner des décisions de l’exécutif ou du législatif qui affectaient le droit constitutionnel </w:t>
      </w:r>
      <w:r w:rsidR="00F072F2" w:rsidRPr="003A3218">
        <w:rPr>
          <w:rStyle w:val="Ohne"/>
          <w:rFonts w:ascii="Times New Roman" w:hAnsi="Times New Roman"/>
          <w:sz w:val="24"/>
          <w:szCs w:val="24"/>
          <w:lang w:val="fr-FR"/>
        </w:rPr>
        <w:t xml:space="preserve">de </w:t>
      </w:r>
      <w:r w:rsidRPr="003A3218">
        <w:rPr>
          <w:rStyle w:val="Ohne"/>
          <w:rFonts w:ascii="Times New Roman" w:hAnsi="Times New Roman"/>
          <w:sz w:val="24"/>
          <w:szCs w:val="24"/>
          <w:lang w:val="fr-FR"/>
        </w:rPr>
        <w:t>propriété privée, un droit qui était totalement dénié pendant le régime communiste.</w:t>
      </w:r>
    </w:p>
    <w:p w14:paraId="3D8A0CB4" w14:textId="77777777" w:rsidR="008F2AB7" w:rsidRPr="003A3218" w:rsidRDefault="008F2AB7" w:rsidP="00C10554">
      <w:pPr>
        <w:spacing w:line="276" w:lineRule="auto"/>
        <w:jc w:val="both"/>
        <w:rPr>
          <w:rStyle w:val="Ohne"/>
          <w:rFonts w:ascii="Times New Roman" w:hAnsi="Times New Roman"/>
          <w:sz w:val="24"/>
          <w:szCs w:val="24"/>
          <w:lang w:val="fr-FR"/>
        </w:rPr>
      </w:pPr>
      <w:r w:rsidRPr="003A3218">
        <w:rPr>
          <w:rStyle w:val="Ohne"/>
          <w:rFonts w:ascii="Times New Roman" w:hAnsi="Times New Roman"/>
          <w:sz w:val="24"/>
          <w:szCs w:val="24"/>
          <w:lang w:val="fr-FR"/>
        </w:rPr>
        <w:t xml:space="preserve">En Espagne, la culture et les conditions du pays, ainsi que les expériences historiques, peuvent être considérées comme des raisons expliquant la règle contestée ou même la décision finalement prise sur la validité de la règle, ainsi que des éléments métajuridiques qui aident à comprendre l’évolution de certaines institutions juridiques. Mais </w:t>
      </w:r>
      <w:r w:rsidR="004C7E20" w:rsidRPr="003A3218">
        <w:rPr>
          <w:rStyle w:val="Ohne"/>
          <w:rFonts w:ascii="Times New Roman" w:hAnsi="Times New Roman"/>
          <w:sz w:val="24"/>
          <w:szCs w:val="24"/>
          <w:lang w:val="fr-FR"/>
        </w:rPr>
        <w:t>elles</w:t>
      </w:r>
      <w:r w:rsidRPr="003A3218">
        <w:rPr>
          <w:rStyle w:val="Ohne"/>
          <w:rFonts w:ascii="Times New Roman" w:hAnsi="Times New Roman"/>
          <w:sz w:val="24"/>
          <w:szCs w:val="24"/>
          <w:lang w:val="fr-FR"/>
        </w:rPr>
        <w:t xml:space="preserve"> ne peuvent pas être utilisé</w:t>
      </w:r>
      <w:r w:rsidR="004C7E20" w:rsidRPr="003A3218">
        <w:rPr>
          <w:rStyle w:val="Ohne"/>
          <w:rFonts w:ascii="Times New Roman" w:hAnsi="Times New Roman"/>
          <w:sz w:val="24"/>
          <w:szCs w:val="24"/>
          <w:lang w:val="fr-FR"/>
        </w:rPr>
        <w:t>e</w:t>
      </w:r>
      <w:r w:rsidRPr="003A3218">
        <w:rPr>
          <w:rStyle w:val="Ohne"/>
          <w:rFonts w:ascii="Times New Roman" w:hAnsi="Times New Roman"/>
          <w:sz w:val="24"/>
          <w:szCs w:val="24"/>
          <w:lang w:val="fr-FR"/>
        </w:rPr>
        <w:t xml:space="preserve">s comme des raisons pour ne pas décider ou ne pas exercer le pouvoir juridictionnel accordé </w:t>
      </w:r>
      <w:r w:rsidR="004C7E20" w:rsidRPr="003A3218">
        <w:rPr>
          <w:rStyle w:val="Ohne"/>
          <w:rFonts w:ascii="Times New Roman" w:hAnsi="Times New Roman"/>
          <w:sz w:val="24"/>
          <w:szCs w:val="24"/>
          <w:lang w:val="fr-FR"/>
        </w:rPr>
        <w:t xml:space="preserve">à la Cour constitutionnelle </w:t>
      </w:r>
      <w:r w:rsidRPr="003A3218">
        <w:rPr>
          <w:rStyle w:val="Ohne"/>
          <w:rFonts w:ascii="Times New Roman" w:hAnsi="Times New Roman"/>
          <w:sz w:val="24"/>
          <w:szCs w:val="24"/>
          <w:lang w:val="fr-FR"/>
        </w:rPr>
        <w:t>espagnol</w:t>
      </w:r>
      <w:r w:rsidR="004C7E20" w:rsidRPr="003A3218">
        <w:rPr>
          <w:rStyle w:val="Ohne"/>
          <w:rFonts w:ascii="Times New Roman" w:hAnsi="Times New Roman"/>
          <w:sz w:val="24"/>
          <w:szCs w:val="24"/>
          <w:lang w:val="fr-FR"/>
        </w:rPr>
        <w:t>e</w:t>
      </w:r>
      <w:r w:rsidRPr="003A3218">
        <w:rPr>
          <w:rStyle w:val="Ohne"/>
          <w:rFonts w:ascii="Times New Roman" w:hAnsi="Times New Roman"/>
          <w:sz w:val="24"/>
          <w:szCs w:val="24"/>
          <w:lang w:val="fr-FR"/>
        </w:rPr>
        <w:t xml:space="preserve"> par le pouvoir constituant, afin d’imposer la prise de décision, une valeur qui régit les systèmes juridiques contemporains.</w:t>
      </w:r>
    </w:p>
    <w:p w14:paraId="74162B7B" w14:textId="77777777" w:rsidR="008F2AB7" w:rsidRPr="003A3218" w:rsidRDefault="008F2AB7" w:rsidP="00C10554">
      <w:pPr>
        <w:spacing w:line="276" w:lineRule="auto"/>
        <w:jc w:val="both"/>
        <w:rPr>
          <w:rStyle w:val="Ohne"/>
          <w:rFonts w:ascii="Times New Roman" w:hAnsi="Times New Roman"/>
          <w:sz w:val="24"/>
          <w:szCs w:val="24"/>
          <w:lang w:val="fr-FR"/>
        </w:rPr>
      </w:pPr>
      <w:r w:rsidRPr="003A3218">
        <w:rPr>
          <w:rStyle w:val="Ohne"/>
          <w:rFonts w:ascii="Times New Roman" w:hAnsi="Times New Roman"/>
          <w:sz w:val="24"/>
          <w:szCs w:val="24"/>
          <w:lang w:val="fr-FR"/>
        </w:rPr>
        <w:t xml:space="preserve">Selon la Cour constitutionnelle belge, il est notamment essentiel que la composition de la Cour soit directement ou indirectement issue du monde politique. La moitié des juges doivent être d’anciens parlementaires et tous sont nommés par arrêté royal, sur proposition de la Chambre des représentants ou du Sénat, de manière à garantir la représentativité politique résultant des élections </w:t>
      </w:r>
      <w:r w:rsidR="004C7E20" w:rsidRPr="003A3218">
        <w:rPr>
          <w:rStyle w:val="Ohne"/>
          <w:rFonts w:ascii="Times New Roman" w:hAnsi="Times New Roman"/>
          <w:sz w:val="24"/>
          <w:szCs w:val="24"/>
          <w:lang w:val="fr-FR"/>
        </w:rPr>
        <w:t>basées sur le suffrage proportionnel</w:t>
      </w:r>
      <w:r w:rsidRPr="003A3218">
        <w:rPr>
          <w:rStyle w:val="Ohne"/>
          <w:rFonts w:ascii="Times New Roman" w:hAnsi="Times New Roman"/>
          <w:sz w:val="24"/>
          <w:szCs w:val="24"/>
          <w:lang w:val="fr-FR"/>
        </w:rPr>
        <w:t xml:space="preserve">. Si l’on ajoute à cela le fait que la Belgique est divisée en huit entités différentes, avec (presque) toutes les coalitions politiques imaginables, il s’ensuit qu’aucun juge ne se trouve dans une position où son idéologie politique est toujours désavantagée par la loi. En outre, </w:t>
      </w:r>
      <w:r w:rsidR="00121AAF" w:rsidRPr="003A3218">
        <w:rPr>
          <w:rStyle w:val="Ohne"/>
          <w:rFonts w:ascii="Times New Roman" w:hAnsi="Times New Roman"/>
          <w:sz w:val="24"/>
          <w:szCs w:val="24"/>
          <w:lang w:val="fr-FR"/>
        </w:rPr>
        <w:t xml:space="preserve">c’est </w:t>
      </w:r>
      <w:r w:rsidRPr="003A3218">
        <w:rPr>
          <w:rStyle w:val="Ohne"/>
          <w:rFonts w:ascii="Times New Roman" w:hAnsi="Times New Roman"/>
          <w:sz w:val="24"/>
          <w:szCs w:val="24"/>
          <w:lang w:val="fr-FR"/>
        </w:rPr>
        <w:t>un fait historique que les réformes de caste, en particulier les réformes de l’État en Belgique, prennent du temps et sont le résultat d’un consensus politique global. Un pays politiquement et électoralement pluraliste serait plus enclin à la déférence. En outre, la compétence de la Cour est précisément limitée dans certains domaines qui seraient normalement susceptibles d’une plus grande déférence.</w:t>
      </w:r>
    </w:p>
    <w:p w14:paraId="118F0293" w14:textId="77777777" w:rsidR="008F2AB7" w:rsidRPr="003A3218" w:rsidRDefault="008F2AB7" w:rsidP="00C10554">
      <w:pPr>
        <w:spacing w:line="276" w:lineRule="auto"/>
        <w:jc w:val="both"/>
        <w:rPr>
          <w:rStyle w:val="fontstyle01"/>
          <w:rFonts w:ascii="Times New Roman" w:hAnsi="Times New Roman"/>
          <w:color w:val="auto"/>
          <w:lang w:val="fr-FR"/>
        </w:rPr>
      </w:pPr>
      <w:r w:rsidRPr="003A3218">
        <w:rPr>
          <w:rStyle w:val="Ohne"/>
          <w:rFonts w:ascii="Times New Roman" w:hAnsi="Times New Roman"/>
          <w:sz w:val="24"/>
          <w:szCs w:val="24"/>
          <w:lang w:val="fr-FR"/>
        </w:rPr>
        <w:t>Selon la Cour constitutionnelle italienne, l</w:t>
      </w:r>
      <w:r w:rsidR="000536DB" w:rsidRPr="003A3218">
        <w:rPr>
          <w:rStyle w:val="Ohne"/>
          <w:rFonts w:ascii="Times New Roman" w:hAnsi="Times New Roman"/>
          <w:sz w:val="24"/>
          <w:szCs w:val="24"/>
          <w:lang w:val="fr-FR"/>
        </w:rPr>
        <w:t xml:space="preserve">e caractère spécial </w:t>
      </w:r>
      <w:r w:rsidRPr="003A3218">
        <w:rPr>
          <w:rStyle w:val="Ohne"/>
          <w:rFonts w:ascii="Times New Roman" w:hAnsi="Times New Roman"/>
          <w:sz w:val="24"/>
          <w:szCs w:val="24"/>
          <w:lang w:val="fr-FR"/>
        </w:rPr>
        <w:t xml:space="preserve">de certaines questions peut affecter l’issue de la procédure et même empêcher des décisions immédiates sur le fond lorsque des principes profondément enracinés dans la culture et l’expérience historique du pays sont en jeu ou lorsqu’il s’agit d’un exercice d’équilibre délicat qui relève avant tout </w:t>
      </w:r>
      <w:r w:rsidR="008700BE" w:rsidRPr="003A3218">
        <w:rPr>
          <w:rStyle w:val="Ohne"/>
          <w:rFonts w:ascii="Times New Roman" w:hAnsi="Times New Roman"/>
          <w:sz w:val="24"/>
          <w:szCs w:val="24"/>
          <w:lang w:val="fr-FR"/>
        </w:rPr>
        <w:t xml:space="preserve">une question relative à la marge discrétionnaire </w:t>
      </w:r>
      <w:r w:rsidRPr="003A3218">
        <w:rPr>
          <w:rStyle w:val="Ohne"/>
          <w:rFonts w:ascii="Times New Roman" w:hAnsi="Times New Roman"/>
          <w:sz w:val="24"/>
          <w:szCs w:val="24"/>
          <w:lang w:val="fr-FR"/>
        </w:rPr>
        <w:t>du législat</w:t>
      </w:r>
      <w:r w:rsidR="008700BE" w:rsidRPr="003A3218">
        <w:rPr>
          <w:rStyle w:val="Ohne"/>
          <w:rFonts w:ascii="Times New Roman" w:hAnsi="Times New Roman"/>
          <w:sz w:val="24"/>
          <w:szCs w:val="24"/>
          <w:lang w:val="fr-FR"/>
        </w:rPr>
        <w:t>if</w:t>
      </w:r>
      <w:r w:rsidRPr="003A3218">
        <w:rPr>
          <w:rStyle w:val="fontstyle01"/>
          <w:lang w:val="fr-FR"/>
        </w:rPr>
        <w:t xml:space="preserve">. Par exemple, le droit italien de la famille a été hérité de la tradition du droit romain, selon laquelle la connotation hétérosexuelle du mariage et la règle automatique de l’attribution du nom de famille du père lors de la transmission du nom de famille aux enfants. Sur la première question, dans un arrêt de 2010, notant que l’article 29 de la </w:t>
      </w:r>
      <w:r w:rsidRPr="003A3218">
        <w:rPr>
          <w:rStyle w:val="fontstyle01"/>
          <w:lang w:val="fr-FR"/>
        </w:rPr>
        <w:lastRenderedPageBreak/>
        <w:t>Constitution se réfère au mariage dans son sens traditionnel d’union entre un homme et une femme, la Cour constitutionnelle a précisé que le droit des personnes de même sexe de vivre librement ensemble en tant que couple légalement reconnu est garanti par l’article 2 de la Constitution, qui protège les droits inviolables d</w:t>
      </w:r>
      <w:r w:rsidR="00160231" w:rsidRPr="003A3218">
        <w:rPr>
          <w:rStyle w:val="fontstyle01"/>
          <w:lang w:val="fr-FR"/>
        </w:rPr>
        <w:t xml:space="preserve">’une personne </w:t>
      </w:r>
      <w:r w:rsidRPr="003A3218">
        <w:rPr>
          <w:rStyle w:val="fontstyle01"/>
          <w:lang w:val="fr-FR"/>
        </w:rPr>
        <w:t>et qui exige que la question soit réglementée par une loi positive adoptée par le Parlement, sous réserve de la marge d’appréciation dont jouit le Parlement, compte tenu des nombreux modèles qui peuvent être adoptés et qui ont été adoptés dans d’autres États et qui n’envisagent pas le paradigme du mariage. À la suite de l</w:t>
      </w:r>
      <w:r w:rsidR="0065062E" w:rsidRPr="003A3218">
        <w:rPr>
          <w:rStyle w:val="fontstyle01"/>
          <w:lang w:val="fr-FR"/>
        </w:rPr>
        <w:t xml:space="preserve">’arrêt </w:t>
      </w:r>
      <w:r w:rsidRPr="003A3218">
        <w:rPr>
          <w:rStyle w:val="fontstyle01"/>
          <w:lang w:val="fr-FR"/>
        </w:rPr>
        <w:t>de la</w:t>
      </w:r>
      <w:r w:rsidR="00325866" w:rsidRPr="003A3218">
        <w:rPr>
          <w:rStyle w:val="fontstyle01"/>
          <w:lang w:val="fr-FR"/>
        </w:rPr>
        <w:t xml:space="preserve"> Cour constitutionnelle selon le</w:t>
      </w:r>
      <w:r w:rsidRPr="003A3218">
        <w:rPr>
          <w:rStyle w:val="fontstyle01"/>
          <w:lang w:val="fr-FR"/>
        </w:rPr>
        <w:t>quel</w:t>
      </w:r>
      <w:r w:rsidR="00325866" w:rsidRPr="003A3218">
        <w:rPr>
          <w:rStyle w:val="fontstyle01"/>
          <w:lang w:val="fr-FR"/>
        </w:rPr>
        <w:t xml:space="preserve"> </w:t>
      </w:r>
      <w:r w:rsidRPr="003A3218">
        <w:rPr>
          <w:rStyle w:val="fontstyle01"/>
          <w:lang w:val="fr-FR"/>
        </w:rPr>
        <w:t>les questions soulevées dans cette affaire étaient soit infondées, soit irrecevables, le législat</w:t>
      </w:r>
      <w:r w:rsidR="00CF790B" w:rsidRPr="003A3218">
        <w:rPr>
          <w:rStyle w:val="fontstyle01"/>
          <w:lang w:val="fr-FR"/>
        </w:rPr>
        <w:t xml:space="preserve">if </w:t>
      </w:r>
      <w:r w:rsidRPr="003A3218">
        <w:rPr>
          <w:rStyle w:val="fontstyle01"/>
          <w:lang w:val="fr-FR"/>
        </w:rPr>
        <w:t xml:space="preserve">a réglementé les unions civiles, y compris les unions entre personnes de même sexe. En ce qui concerne la deuxième question, la règle du nom de famille du père - qui affecte clairement le principe constitutionnel d’égalité entre les époux, ainsi que le droit de l’enfant à l’identité personnelle, et qui pourrait être un héritage de la conception patriarcale de la famille qui a disparu - a conduit la Cour à imposer une révision complète des règles à plusieurs reprises. L’inertie législative ayant persisté, un arrêt </w:t>
      </w:r>
      <w:r w:rsidR="00552853" w:rsidRPr="003A3218">
        <w:rPr>
          <w:rStyle w:val="fontstyle01"/>
          <w:lang w:val="fr-FR"/>
        </w:rPr>
        <w:t xml:space="preserve">rendu </w:t>
      </w:r>
      <w:r w:rsidR="00CF790B" w:rsidRPr="003A3218">
        <w:rPr>
          <w:rStyle w:val="fontstyle01"/>
          <w:lang w:val="fr-FR"/>
        </w:rPr>
        <w:t xml:space="preserve">en </w:t>
      </w:r>
      <w:r w:rsidRPr="003A3218">
        <w:rPr>
          <w:rStyle w:val="fontstyle01"/>
          <w:lang w:val="fr-FR"/>
        </w:rPr>
        <w:t>2022 a finalement invalidé l’attribution automatique du nom de famille du père à l’enfant, introduisant la règle du double nom dans l’ordre établi tant que les parents n’en décident pas autrement.</w:t>
      </w:r>
    </w:p>
    <w:p w14:paraId="366282AA" w14:textId="77777777" w:rsidR="008F2AB7" w:rsidRPr="003A3218" w:rsidRDefault="008F2AB7" w:rsidP="00C10554">
      <w:pPr>
        <w:spacing w:line="276" w:lineRule="auto"/>
        <w:jc w:val="both"/>
        <w:rPr>
          <w:rStyle w:val="fontstyle01"/>
          <w:lang w:val="fr-FR"/>
        </w:rPr>
      </w:pPr>
      <w:r w:rsidRPr="003A3218">
        <w:rPr>
          <w:rStyle w:val="fontstyle01"/>
          <w:b/>
          <w:lang w:val="fr-FR"/>
        </w:rPr>
        <w:t>4.</w:t>
      </w:r>
      <w:r w:rsidRPr="003A3218">
        <w:rPr>
          <w:rStyle w:val="fontstyle01"/>
          <w:lang w:val="fr-FR"/>
        </w:rPr>
        <w:t xml:space="preserve"> A la question de savoir s’il lui est déjà arrivé de faire preuve de déférence pour manque d’expertise, la Cour constitutionnelle fédérale allemande répond que de tels cas sont impensables. Dans la mesure où la Cour constitutionnelle peut décider, elle le fait sur la base des normes constitutionnelles d’interprétation, pour lesquelles elle dispose d’une expertise suffisante. Il peut y avoir des questions préliminaires, telles que l’existence de règles générales de droit international, des questions concernant l’interprétation du droit commun ou des questions de validité dans le contexte du droit international, pour lesquelles la Cour constitutionnelle fédérale demandera une expertise externe.</w:t>
      </w:r>
    </w:p>
    <w:p w14:paraId="7C3B959C"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Style w:val="fontstyle01"/>
          <w:lang w:val="fr-FR"/>
        </w:rPr>
        <w:t xml:space="preserve">Dans plusieurs cas, la Cour constitutionnelle tchèque s’est montrée réticente, estimant que la question devait être tranchée en premier lieu par le législateur et non par les tribunaux. Un exemple de cette approche est la décision sur la vaccination obligatoire. La Cour constitutionnelle a </w:t>
      </w:r>
      <w:r w:rsidR="00552853" w:rsidRPr="003A3218">
        <w:rPr>
          <w:rStyle w:val="fontstyle01"/>
          <w:lang w:val="fr-FR"/>
        </w:rPr>
        <w:t xml:space="preserve">effectué un contrôle réduit de </w:t>
      </w:r>
      <w:r w:rsidRPr="003A3218">
        <w:rPr>
          <w:rStyle w:val="fontstyle01"/>
          <w:lang w:val="fr-FR"/>
        </w:rPr>
        <w:t xml:space="preserve">la législation dans le contexte du droit à l’inviolabilité de la personne, soulignant qu’il s’agissait d’une question technique plutôt que juridique. Dans un autre arrêt rendu en 2018, la Cour constitutionnelle a </w:t>
      </w:r>
      <w:r w:rsidR="003A3218" w:rsidRPr="003A3218">
        <w:rPr>
          <w:rStyle w:val="fontstyle01"/>
          <w:lang w:val="fr-FR"/>
        </w:rPr>
        <w:t>vérifie</w:t>
      </w:r>
      <w:r w:rsidRPr="003A3218">
        <w:rPr>
          <w:rStyle w:val="fontstyle01"/>
          <w:lang w:val="fr-FR"/>
        </w:rPr>
        <w:t xml:space="preserve"> la constitutionnalité d’une réglementation gouvernementale fixant des limites au bruit de la circulation. Le gouvernement a fait valoir que l’affaire ne relevait pas de la compétence des tribunaux en général, car elle dépendait de la détermination de questions techniques et scientifiques. Cependant, la Cour constitutionnelle n’était pas d’accord et a déclaré que « les tribunaux ne devraient pas et ne peuvent pas s’abstenir de </w:t>
      </w:r>
      <w:r w:rsidR="003A3218" w:rsidRPr="003A3218">
        <w:rPr>
          <w:rStyle w:val="fontstyle01"/>
          <w:lang w:val="fr-FR"/>
        </w:rPr>
        <w:t>vérifier</w:t>
      </w:r>
      <w:r w:rsidRPr="003A3218">
        <w:rPr>
          <w:rStyle w:val="fontstyle01"/>
          <w:lang w:val="fr-FR"/>
        </w:rPr>
        <w:t xml:space="preserve"> les affaires dans lesquelles la décision dépend de la détermination de questions techniques ou scientifiques ».</w:t>
      </w:r>
      <w:r w:rsidRPr="003A3218">
        <w:rPr>
          <w:rFonts w:ascii="Times New Roman" w:hAnsi="Times New Roman"/>
          <w:color w:val="000000"/>
          <w:sz w:val="24"/>
          <w:szCs w:val="24"/>
          <w:lang w:val="fr-FR"/>
        </w:rPr>
        <w:t xml:space="preserve"> La Cour a toutefois fait preuve de </w:t>
      </w:r>
      <w:r w:rsidR="00F30D37">
        <w:rPr>
          <w:rFonts w:ascii="Times New Roman" w:hAnsi="Times New Roman"/>
          <w:color w:val="000000"/>
          <w:sz w:val="24"/>
          <w:szCs w:val="24"/>
          <w:lang w:val="fr-FR"/>
        </w:rPr>
        <w:t>déférence</w:t>
      </w:r>
      <w:r w:rsidRPr="003A3218">
        <w:rPr>
          <w:rFonts w:ascii="Times New Roman" w:hAnsi="Times New Roman"/>
          <w:color w:val="000000"/>
          <w:sz w:val="24"/>
          <w:szCs w:val="24"/>
          <w:lang w:val="fr-FR"/>
        </w:rPr>
        <w:t xml:space="preserve"> dans </w:t>
      </w:r>
      <w:r w:rsidR="00F30D37">
        <w:rPr>
          <w:rFonts w:ascii="Times New Roman" w:hAnsi="Times New Roman"/>
          <w:color w:val="000000"/>
          <w:sz w:val="24"/>
          <w:szCs w:val="24"/>
          <w:lang w:val="fr-FR"/>
        </w:rPr>
        <w:t>le</w:t>
      </w:r>
      <w:r w:rsidRPr="003A3218">
        <w:rPr>
          <w:rFonts w:ascii="Times New Roman" w:hAnsi="Times New Roman"/>
          <w:color w:val="000000"/>
          <w:sz w:val="24"/>
          <w:szCs w:val="24"/>
          <w:lang w:val="fr-FR"/>
        </w:rPr>
        <w:t xml:space="preserve"> contrôle </w:t>
      </w:r>
      <w:r w:rsidR="00F30D37">
        <w:rPr>
          <w:rFonts w:ascii="Times New Roman" w:hAnsi="Times New Roman"/>
          <w:color w:val="000000"/>
          <w:sz w:val="24"/>
          <w:szCs w:val="24"/>
          <w:lang w:val="fr-FR"/>
        </w:rPr>
        <w:t>qu’elle a effectuée,</w:t>
      </w:r>
      <w:r w:rsidR="008F70FC">
        <w:rPr>
          <w:rFonts w:ascii="Times New Roman" w:hAnsi="Times New Roman"/>
          <w:color w:val="000000"/>
          <w:sz w:val="24"/>
          <w:szCs w:val="24"/>
          <w:lang w:val="fr-FR"/>
        </w:rPr>
        <w:t xml:space="preserve"> </w:t>
      </w:r>
      <w:r w:rsidRPr="003A3218">
        <w:rPr>
          <w:rFonts w:ascii="Times New Roman" w:hAnsi="Times New Roman"/>
          <w:color w:val="000000"/>
          <w:sz w:val="24"/>
          <w:szCs w:val="24"/>
          <w:lang w:val="fr-FR"/>
        </w:rPr>
        <w:t xml:space="preserve">car « elle ne peut avoir l’ambition de se lancer dans un contrôle </w:t>
      </w:r>
      <w:r w:rsidR="008F70FC">
        <w:rPr>
          <w:rFonts w:ascii="Times New Roman" w:hAnsi="Times New Roman"/>
          <w:color w:val="000000"/>
          <w:sz w:val="24"/>
          <w:szCs w:val="24"/>
          <w:lang w:val="fr-FR"/>
        </w:rPr>
        <w:t xml:space="preserve">des questions </w:t>
      </w:r>
      <w:r w:rsidRPr="003A3218">
        <w:rPr>
          <w:rFonts w:ascii="Times New Roman" w:hAnsi="Times New Roman"/>
          <w:color w:val="000000"/>
          <w:sz w:val="24"/>
          <w:szCs w:val="24"/>
          <w:lang w:val="fr-FR"/>
        </w:rPr>
        <w:t>purement technique</w:t>
      </w:r>
      <w:r w:rsidR="008F70FC">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 Le contexte administratif et </w:t>
      </w:r>
      <w:r w:rsidR="00275907">
        <w:rPr>
          <w:rFonts w:ascii="Times New Roman" w:hAnsi="Times New Roman"/>
          <w:color w:val="000000"/>
          <w:sz w:val="24"/>
          <w:szCs w:val="24"/>
          <w:lang w:val="fr-FR"/>
        </w:rPr>
        <w:t>d’</w:t>
      </w:r>
      <w:r w:rsidRPr="003A3218">
        <w:rPr>
          <w:rFonts w:ascii="Times New Roman" w:hAnsi="Times New Roman"/>
          <w:color w:val="000000"/>
          <w:sz w:val="24"/>
          <w:szCs w:val="24"/>
          <w:lang w:val="fr-FR"/>
        </w:rPr>
        <w:t>expert</w:t>
      </w:r>
      <w:r w:rsidR="00275907">
        <w:rPr>
          <w:rFonts w:ascii="Times New Roman" w:hAnsi="Times New Roman"/>
          <w:color w:val="000000"/>
          <w:sz w:val="24"/>
          <w:szCs w:val="24"/>
          <w:lang w:val="fr-FR"/>
        </w:rPr>
        <w:t>ise</w:t>
      </w:r>
      <w:r w:rsidRPr="003A3218">
        <w:rPr>
          <w:rFonts w:ascii="Times New Roman" w:hAnsi="Times New Roman"/>
          <w:color w:val="000000"/>
          <w:sz w:val="24"/>
          <w:szCs w:val="24"/>
          <w:lang w:val="fr-FR"/>
        </w:rPr>
        <w:t xml:space="preserve"> nécessaire et les ressources pour prendre de telles décisions sont à la disposition du gouvernement et c’est avant tout à ce dernier qu’il incombe d’analyser tous les facteurs nécessaires dans leur globalité et à la lumière des connaissances actuelles ». Dans ces </w:t>
      </w:r>
      <w:r w:rsidR="00637CD7">
        <w:rPr>
          <w:rFonts w:ascii="Times New Roman" w:hAnsi="Times New Roman"/>
          <w:color w:val="000000"/>
          <w:sz w:val="24"/>
          <w:szCs w:val="24"/>
          <w:lang w:val="fr-FR"/>
        </w:rPr>
        <w:t>cas</w:t>
      </w:r>
      <w:r w:rsidRPr="003A3218">
        <w:rPr>
          <w:rFonts w:ascii="Times New Roman" w:hAnsi="Times New Roman"/>
          <w:color w:val="000000"/>
          <w:sz w:val="24"/>
          <w:szCs w:val="24"/>
          <w:lang w:val="fr-FR"/>
        </w:rPr>
        <w:t xml:space="preserve">, la Cour constitutionnelle a maintenu une position modérée, principalement en raison de l’expertise supérieure du décideur. </w:t>
      </w:r>
    </w:p>
    <w:p w14:paraId="14E78A6B"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lastRenderedPageBreak/>
        <w:t xml:space="preserve">Dans l’une des affaires jugées, la Cour constitutionnelle du Portugal s’est abstenue de déclarer inconstitutionnelles les dispositions normatives contestées, en partie à cause du « contexte épistémique limité » dans lequel elle a dû délibérer. Mais il ne s’agit pas d’un exemple de déférence au sens </w:t>
      </w:r>
      <w:r w:rsidR="007760C1">
        <w:rPr>
          <w:rFonts w:ascii="Times New Roman" w:hAnsi="Times New Roman"/>
          <w:color w:val="000000"/>
          <w:sz w:val="24"/>
          <w:szCs w:val="24"/>
          <w:lang w:val="fr-FR"/>
        </w:rPr>
        <w:t>relevant</w:t>
      </w:r>
      <w:r w:rsidRPr="003A3218">
        <w:rPr>
          <w:rFonts w:ascii="Times New Roman" w:hAnsi="Times New Roman"/>
          <w:color w:val="000000"/>
          <w:sz w:val="24"/>
          <w:szCs w:val="24"/>
          <w:lang w:val="fr-FR"/>
        </w:rPr>
        <w:t xml:space="preserve"> du terme : la Cour n’a pas et ne pouvait pas imposer sa solution sur la question de fond au détriment de la solution du législateur, c’est-à-dire que la Cour n’a ni adopté ni approuvé la décision du décideur en se référant à l’aspect substantiel de la mesure. La Cour a simplement déclaré qu’elle n’était pas suffisamment informée </w:t>
      </w:r>
      <w:r w:rsidR="007760C1">
        <w:rPr>
          <w:rFonts w:ascii="Times New Roman" w:hAnsi="Times New Roman"/>
          <w:color w:val="000000"/>
          <w:sz w:val="24"/>
          <w:szCs w:val="24"/>
          <w:lang w:val="fr-FR"/>
        </w:rPr>
        <w:t>du point de vue</w:t>
      </w:r>
      <w:r w:rsidRPr="003A3218">
        <w:rPr>
          <w:rFonts w:ascii="Times New Roman" w:hAnsi="Times New Roman"/>
          <w:color w:val="000000"/>
          <w:sz w:val="24"/>
          <w:szCs w:val="24"/>
          <w:lang w:val="fr-FR"/>
        </w:rPr>
        <w:t xml:space="preserve"> épistémique pour être convaincue de l’inconstitutionnalité de </w:t>
      </w:r>
      <w:r w:rsidR="007760C1">
        <w:rPr>
          <w:rFonts w:ascii="Times New Roman" w:hAnsi="Times New Roman"/>
          <w:color w:val="000000"/>
          <w:sz w:val="24"/>
          <w:szCs w:val="24"/>
          <w:lang w:val="fr-FR"/>
        </w:rPr>
        <w:t>cette</w:t>
      </w:r>
      <w:r w:rsidRPr="003A3218">
        <w:rPr>
          <w:rFonts w:ascii="Times New Roman" w:hAnsi="Times New Roman"/>
          <w:color w:val="000000"/>
          <w:sz w:val="24"/>
          <w:szCs w:val="24"/>
          <w:lang w:val="fr-FR"/>
        </w:rPr>
        <w:t xml:space="preserve"> disposition. Une telle raison de ne pas déclarer une disposition législative inconstitutionnelle est une raison prudentielle </w:t>
      </w:r>
      <w:r w:rsidR="00685578">
        <w:rPr>
          <w:rFonts w:ascii="Times New Roman" w:hAnsi="Times New Roman"/>
          <w:color w:val="000000"/>
          <w:sz w:val="24"/>
          <w:szCs w:val="24"/>
          <w:lang w:val="fr-FR"/>
        </w:rPr>
        <w:t xml:space="preserve">pour </w:t>
      </w:r>
      <w:r w:rsidRPr="003A3218">
        <w:rPr>
          <w:rFonts w:ascii="Times New Roman" w:hAnsi="Times New Roman"/>
          <w:color w:val="000000"/>
          <w:sz w:val="24"/>
          <w:szCs w:val="24"/>
          <w:lang w:val="fr-FR"/>
        </w:rPr>
        <w:t>s’abstenir d’agir de manière à violer le principe de la séparation des pouvoirs.</w:t>
      </w:r>
    </w:p>
    <w:p w14:paraId="11B5F162"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Selon la Cour constitutionnelle de Croatie, en général, il ne devrait pas y avoir de cas de déférence en raison d’un manque d’expertise, car la Cour peut demander et s’appuyer sur les conclusions d’experts spécialisés dans les domaines en question. Cependant, dans les cas urgents, lorsqu’il y a une pénurie générale d’experts et qu’une solution doit être prise rapidement, le décideur peut se voir accorder une marge d’appréciation plus large associée à un degré de déférence plus élevé.</w:t>
      </w:r>
    </w:p>
    <w:p w14:paraId="0BF9ED29"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La Cour constitutionnelle slovène accorde au législat</w:t>
      </w:r>
      <w:r w:rsidR="00A91739">
        <w:rPr>
          <w:rFonts w:ascii="Times New Roman" w:hAnsi="Times New Roman"/>
          <w:color w:val="000000"/>
          <w:sz w:val="24"/>
          <w:szCs w:val="24"/>
          <w:lang w:val="fr-FR"/>
        </w:rPr>
        <w:t xml:space="preserve">if </w:t>
      </w:r>
      <w:r w:rsidRPr="003A3218">
        <w:rPr>
          <w:rFonts w:ascii="Times New Roman" w:hAnsi="Times New Roman"/>
          <w:color w:val="000000"/>
          <w:sz w:val="24"/>
          <w:szCs w:val="24"/>
          <w:lang w:val="fr-FR"/>
        </w:rPr>
        <w:t xml:space="preserve">et à l’exécutif une plus grande marge de manœuvre lorsqu’il s’agit de réglementer des questions techniques ou scientifiques ne relevant pas du domaine juridique. Dans une affaire concernant l’abattage rituel des animaux, la Cour a clairement indiqué qu’elle ne pouvait pas jouer le rôle d’arbitre dans des questions scientifiques complexes. À cet égard, les considérations de la Cour constitutionnelle sur </w:t>
      </w:r>
      <w:r w:rsidR="00434A9B">
        <w:rPr>
          <w:rFonts w:ascii="Times New Roman" w:hAnsi="Times New Roman"/>
          <w:color w:val="000000"/>
          <w:sz w:val="24"/>
          <w:szCs w:val="24"/>
          <w:lang w:val="fr-FR"/>
        </w:rPr>
        <w:t xml:space="preserve">la conformité avec la Constitution </w:t>
      </w:r>
      <w:r w:rsidRPr="003A3218">
        <w:rPr>
          <w:rFonts w:ascii="Times New Roman" w:hAnsi="Times New Roman"/>
          <w:color w:val="000000"/>
          <w:sz w:val="24"/>
          <w:szCs w:val="24"/>
          <w:lang w:val="fr-FR"/>
        </w:rPr>
        <w:t xml:space="preserve">des mesures de lutte contre la propagation de la pandémie de Covid-19 sont également pertinentes. Pour déterminer le caractère justifié de la mesure contestée, la Cour a expliqué que lorsque la justification de la mesure est directement liée </w:t>
      </w:r>
      <w:r w:rsidR="00434A9B">
        <w:rPr>
          <w:rFonts w:ascii="Times New Roman" w:hAnsi="Times New Roman"/>
          <w:color w:val="000000"/>
          <w:sz w:val="24"/>
          <w:szCs w:val="24"/>
          <w:lang w:val="fr-FR"/>
        </w:rPr>
        <w:t>aux</w:t>
      </w:r>
      <w:r w:rsidRPr="003A3218">
        <w:rPr>
          <w:rFonts w:ascii="Times New Roman" w:hAnsi="Times New Roman"/>
          <w:color w:val="000000"/>
          <w:sz w:val="24"/>
          <w:szCs w:val="24"/>
          <w:lang w:val="fr-FR"/>
        </w:rPr>
        <w:t xml:space="preserve"> raisonnement</w:t>
      </w:r>
      <w:r w:rsidR="00434A9B">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d</w:t>
      </w:r>
      <w:r w:rsidR="00434A9B">
        <w:rPr>
          <w:rFonts w:ascii="Times New Roman" w:hAnsi="Times New Roman"/>
          <w:color w:val="000000"/>
          <w:sz w:val="24"/>
          <w:szCs w:val="24"/>
          <w:lang w:val="fr-FR"/>
        </w:rPr>
        <w:t xml:space="preserve">es </w:t>
      </w:r>
      <w:r w:rsidRPr="003A3218">
        <w:rPr>
          <w:rFonts w:ascii="Times New Roman" w:hAnsi="Times New Roman"/>
          <w:color w:val="000000"/>
          <w:sz w:val="24"/>
          <w:szCs w:val="24"/>
          <w:lang w:val="fr-FR"/>
        </w:rPr>
        <w:t>expert</w:t>
      </w:r>
      <w:r w:rsidR="00434A9B">
        <w:rPr>
          <w:rFonts w:ascii="Times New Roman" w:hAnsi="Times New Roman"/>
          <w:color w:val="000000"/>
          <w:sz w:val="24"/>
          <w:szCs w:val="24"/>
          <w:lang w:val="fr-FR"/>
        </w:rPr>
        <w:t>s</w:t>
      </w:r>
      <w:r w:rsidRPr="003A3218">
        <w:rPr>
          <w:rFonts w:ascii="Times New Roman" w:hAnsi="Times New Roman"/>
          <w:color w:val="000000"/>
          <w:sz w:val="24"/>
          <w:szCs w:val="24"/>
          <w:lang w:val="fr-FR"/>
        </w:rPr>
        <w:t>, l’évaluation doit être effectuée « à la lumière des informations provenant des disciplines pertinentes disponibles au moment de la décision imposant les mesures ». Si les informations scientifiques sont encore en évolution à la date de la première apparition d’une maladie inconnue auparavant, en raison de laquelle un état d’épidémie ou de pandémie doit être déclaré, et l’avis de la communauté scientifique peut ne pas être unanime, le décideur compétent doit disposer d’une plus grande marge d</w:t>
      </w:r>
      <w:r w:rsidR="00434A9B">
        <w:rPr>
          <w:rFonts w:ascii="Times New Roman" w:hAnsi="Times New Roman"/>
          <w:color w:val="000000"/>
          <w:sz w:val="24"/>
          <w:szCs w:val="24"/>
          <w:lang w:val="fr-FR"/>
        </w:rPr>
        <w:t xml:space="preserve">iscrétionnaire </w:t>
      </w:r>
      <w:r w:rsidRPr="003A3218">
        <w:rPr>
          <w:rFonts w:ascii="Times New Roman" w:hAnsi="Times New Roman"/>
          <w:color w:val="000000"/>
          <w:sz w:val="24"/>
          <w:szCs w:val="24"/>
          <w:lang w:val="fr-FR"/>
        </w:rPr>
        <w:t>pour déterminer l’avis des experts à suivre et la mesure dans laquelle il convient de suivre cet avis.</w:t>
      </w:r>
    </w:p>
    <w:p w14:paraId="0E0BE5FC" w14:textId="77777777" w:rsidR="008F2AB7" w:rsidRPr="003A3218" w:rsidRDefault="008F2AB7" w:rsidP="00C10554">
      <w:pPr>
        <w:spacing w:line="276" w:lineRule="auto"/>
        <w:jc w:val="both"/>
        <w:rPr>
          <w:rFonts w:ascii="Times New Roman" w:hAnsi="Times New Roman"/>
          <w:color w:val="000000"/>
          <w:sz w:val="24"/>
          <w:szCs w:val="24"/>
          <w:lang w:val="fr-FR"/>
        </w:rPr>
      </w:pPr>
      <w:r w:rsidRPr="00434A9B">
        <w:rPr>
          <w:rFonts w:ascii="Times New Roman" w:hAnsi="Times New Roman"/>
          <w:b/>
          <w:color w:val="000000"/>
          <w:sz w:val="24"/>
          <w:szCs w:val="24"/>
          <w:lang w:val="fr-FR"/>
        </w:rPr>
        <w:t>5.</w:t>
      </w:r>
      <w:r w:rsidRPr="003A3218">
        <w:rPr>
          <w:rFonts w:ascii="Times New Roman" w:hAnsi="Times New Roman"/>
          <w:color w:val="000000"/>
          <w:sz w:val="24"/>
          <w:szCs w:val="24"/>
          <w:lang w:val="fr-FR"/>
        </w:rPr>
        <w:t xml:space="preserve"> Aucune des </w:t>
      </w:r>
      <w:r w:rsidR="00290551">
        <w:rPr>
          <w:rFonts w:ascii="Times New Roman" w:hAnsi="Times New Roman"/>
          <w:color w:val="000000"/>
          <w:sz w:val="24"/>
          <w:szCs w:val="24"/>
          <w:lang w:val="fr-FR"/>
        </w:rPr>
        <w:t xml:space="preserve">cours </w:t>
      </w:r>
      <w:r w:rsidRPr="003A3218">
        <w:rPr>
          <w:rFonts w:ascii="Times New Roman" w:hAnsi="Times New Roman"/>
          <w:color w:val="000000"/>
          <w:sz w:val="24"/>
          <w:szCs w:val="24"/>
          <w:lang w:val="fr-FR"/>
        </w:rPr>
        <w:t xml:space="preserve">interrogées n’a fait preuve de </w:t>
      </w:r>
      <w:r w:rsidR="00290551">
        <w:rPr>
          <w:rFonts w:ascii="Times New Roman" w:hAnsi="Times New Roman"/>
          <w:color w:val="000000"/>
          <w:sz w:val="24"/>
          <w:szCs w:val="24"/>
          <w:lang w:val="fr-FR"/>
        </w:rPr>
        <w:t xml:space="preserve">déférence </w:t>
      </w:r>
      <w:r w:rsidRPr="003A3218">
        <w:rPr>
          <w:rFonts w:ascii="Times New Roman" w:hAnsi="Times New Roman"/>
          <w:color w:val="000000"/>
          <w:sz w:val="24"/>
          <w:szCs w:val="24"/>
          <w:lang w:val="fr-FR"/>
        </w:rPr>
        <w:t>à l’égard du risque d’erreur judiciaire. Comme l’a noté la Cour constitutionnelle d’Espagne, on ne peut jamais s’appuyer sur l’obscurité de la règle servant de paramètre de contrôle pour éviter la responsabilité de juger la question soumise au tribunal. Ce</w:t>
      </w:r>
      <w:r w:rsidR="00290551">
        <w:rPr>
          <w:rFonts w:ascii="Times New Roman" w:hAnsi="Times New Roman"/>
          <w:color w:val="000000"/>
          <w:sz w:val="24"/>
          <w:szCs w:val="24"/>
          <w:lang w:val="fr-FR"/>
        </w:rPr>
        <w:t xml:space="preserve"> fait </w:t>
      </w:r>
      <w:r w:rsidRPr="003A3218">
        <w:rPr>
          <w:rFonts w:ascii="Times New Roman" w:hAnsi="Times New Roman"/>
          <w:color w:val="000000"/>
          <w:sz w:val="24"/>
          <w:szCs w:val="24"/>
          <w:lang w:val="fr-FR"/>
        </w:rPr>
        <w:t>équivaudrait à un déni de justice pour les parties à la procédure et à une méconnaissance du rôle de la Cour en tant qu’« interprète suprême de la Constitution ».</w:t>
      </w:r>
    </w:p>
    <w:p w14:paraId="7982AED7" w14:textId="77777777" w:rsidR="008F2AB7" w:rsidRPr="003A3218" w:rsidRDefault="008F2AB7" w:rsidP="00C10554">
      <w:pPr>
        <w:pStyle w:val="Pa18"/>
        <w:spacing w:line="276" w:lineRule="auto"/>
        <w:jc w:val="both"/>
        <w:rPr>
          <w:rFonts w:ascii="Times New Roman" w:hAnsi="Times New Roman"/>
          <w:color w:val="000000"/>
          <w:lang w:val="fr-FR"/>
        </w:rPr>
      </w:pPr>
      <w:r w:rsidRPr="003A3218">
        <w:rPr>
          <w:rFonts w:ascii="Times New Roman" w:hAnsi="Times New Roman"/>
          <w:color w:val="000000"/>
          <w:lang w:val="fr-FR"/>
        </w:rPr>
        <w:t xml:space="preserve">La Cour constitutionnelle lettone n’a jamais fait explicitement référence à la possibilité d’une erreur judiciaire. Cependant, il semblerait que son refus de </w:t>
      </w:r>
      <w:r w:rsidR="00940E38">
        <w:rPr>
          <w:rFonts w:ascii="Times New Roman" w:hAnsi="Times New Roman"/>
          <w:color w:val="000000"/>
          <w:lang w:val="fr-FR"/>
        </w:rPr>
        <w:t>réexaminer</w:t>
      </w:r>
      <w:r w:rsidRPr="003A3218">
        <w:rPr>
          <w:rFonts w:ascii="Times New Roman" w:hAnsi="Times New Roman"/>
          <w:color w:val="000000"/>
          <w:lang w:val="fr-FR"/>
        </w:rPr>
        <w:t xml:space="preserve"> l’opportunité politique des décisions du législateur réside dans l’absence de « normes et catégories juridiques suffisamment strictes » à l’aune desquelles mesurer cette opportunité. En d’autres termes, il est impossible pour la Cour lettone d’</w:t>
      </w:r>
      <w:r w:rsidR="00940E38">
        <w:rPr>
          <w:rFonts w:ascii="Times New Roman" w:hAnsi="Times New Roman"/>
          <w:color w:val="000000"/>
          <w:lang w:val="fr-FR"/>
        </w:rPr>
        <w:t xml:space="preserve">avoir la </w:t>
      </w:r>
      <w:r w:rsidRPr="003A3218">
        <w:rPr>
          <w:rFonts w:ascii="Times New Roman" w:hAnsi="Times New Roman"/>
          <w:color w:val="000000"/>
          <w:lang w:val="fr-FR"/>
        </w:rPr>
        <w:t>certi</w:t>
      </w:r>
      <w:r w:rsidR="00940E38">
        <w:rPr>
          <w:rFonts w:ascii="Times New Roman" w:hAnsi="Times New Roman"/>
          <w:color w:val="000000"/>
          <w:lang w:val="fr-FR"/>
        </w:rPr>
        <w:t xml:space="preserve">tude </w:t>
      </w:r>
      <w:r w:rsidRPr="003A3218">
        <w:rPr>
          <w:rFonts w:ascii="Times New Roman" w:hAnsi="Times New Roman"/>
          <w:color w:val="000000"/>
          <w:lang w:val="fr-FR"/>
        </w:rPr>
        <w:t xml:space="preserve">que ses considérations d’opportunité politique sont plus correctes que celles du législateur. Les jugements rendus sans base juridique </w:t>
      </w:r>
      <w:r w:rsidRPr="003A3218">
        <w:rPr>
          <w:rFonts w:ascii="Times New Roman" w:hAnsi="Times New Roman"/>
          <w:color w:val="000000"/>
          <w:lang w:val="fr-FR"/>
        </w:rPr>
        <w:lastRenderedPageBreak/>
        <w:t xml:space="preserve">claire sont </w:t>
      </w:r>
      <w:r w:rsidR="00113F67">
        <w:rPr>
          <w:rFonts w:ascii="Times New Roman" w:hAnsi="Times New Roman"/>
          <w:color w:val="000000"/>
          <w:lang w:val="fr-FR"/>
        </w:rPr>
        <w:t xml:space="preserve">condamnés à être </w:t>
      </w:r>
      <w:r w:rsidRPr="003A3218">
        <w:rPr>
          <w:rFonts w:ascii="Times New Roman" w:hAnsi="Times New Roman"/>
          <w:color w:val="000000"/>
          <w:lang w:val="fr-FR"/>
        </w:rPr>
        <w:t>arbitraires dans une certaine mesure et donc susceptibles d’entraîner des erreurs judiciaires.</w:t>
      </w:r>
    </w:p>
    <w:p w14:paraId="257A5416" w14:textId="77777777" w:rsidR="008F2AB7" w:rsidRPr="003A3218" w:rsidRDefault="008F2AB7" w:rsidP="00C10554">
      <w:pPr>
        <w:pStyle w:val="Pa18"/>
        <w:spacing w:line="276" w:lineRule="auto"/>
        <w:jc w:val="both"/>
        <w:rPr>
          <w:rFonts w:ascii="Times New Roman" w:hAnsi="Times New Roman"/>
          <w:color w:val="000000"/>
          <w:lang w:val="fr-FR"/>
        </w:rPr>
      </w:pPr>
      <w:r w:rsidRPr="00940E38">
        <w:rPr>
          <w:rFonts w:ascii="Times New Roman" w:hAnsi="Times New Roman"/>
          <w:b/>
          <w:color w:val="000000"/>
          <w:lang w:val="fr-FR"/>
        </w:rPr>
        <w:t>6.</w:t>
      </w:r>
      <w:r w:rsidRPr="003A3218">
        <w:rPr>
          <w:rFonts w:ascii="Times New Roman" w:hAnsi="Times New Roman"/>
          <w:color w:val="000000"/>
          <w:lang w:val="fr-FR"/>
        </w:rPr>
        <w:t xml:space="preserve"> Dans la jurisprudence de la Cour constitutionnelle fédérale allemande, il n’y a pas eu de cas où la Cour a refusé de statuer, compte tenu de la légitimité du décideur. Cependant, lors de l’interprétation des dispositions constitutionnelles précises en cause et lors de l’application de la norme constitutionnelle pertinente à un cas concret, la Cour a, à plusieurs reprises, pris en compte le fait que la Constitution accorde ou non une large marge </w:t>
      </w:r>
      <w:r w:rsidR="00203727">
        <w:rPr>
          <w:rFonts w:ascii="Times New Roman" w:hAnsi="Times New Roman"/>
          <w:color w:val="000000"/>
          <w:lang w:val="fr-FR"/>
        </w:rPr>
        <w:t>discrétionnaire</w:t>
      </w:r>
      <w:r w:rsidRPr="003A3218">
        <w:rPr>
          <w:rFonts w:ascii="Times New Roman" w:hAnsi="Times New Roman"/>
          <w:color w:val="000000"/>
          <w:lang w:val="fr-FR"/>
        </w:rPr>
        <w:t xml:space="preserve"> au décideur.</w:t>
      </w:r>
    </w:p>
    <w:p w14:paraId="60F88BB5" w14:textId="77777777" w:rsidR="008F2AB7" w:rsidRPr="003A3218" w:rsidRDefault="008F2AB7" w:rsidP="00C10554">
      <w:pPr>
        <w:pStyle w:val="Pa18"/>
        <w:spacing w:line="276" w:lineRule="auto"/>
        <w:jc w:val="both"/>
        <w:rPr>
          <w:rFonts w:ascii="Times New Roman" w:hAnsi="Times New Roman"/>
          <w:color w:val="000000"/>
          <w:lang w:val="fr-FR"/>
        </w:rPr>
      </w:pPr>
      <w:r w:rsidRPr="003A3218">
        <w:rPr>
          <w:rFonts w:ascii="Times New Roman" w:hAnsi="Times New Roman"/>
          <w:color w:val="000000"/>
          <w:lang w:val="fr-FR"/>
        </w:rPr>
        <w:t xml:space="preserve">La Cour constitutionnelle de Bosnie-Herzégovine s’est penchée sur la question du pouvoir du Haut </w:t>
      </w:r>
      <w:r w:rsidR="00130FC2" w:rsidRPr="003A3218">
        <w:rPr>
          <w:rFonts w:ascii="Times New Roman" w:hAnsi="Times New Roman"/>
          <w:color w:val="000000"/>
          <w:lang w:val="fr-FR"/>
        </w:rPr>
        <w:t xml:space="preserve">Représentant </w:t>
      </w:r>
      <w:r w:rsidRPr="003A3218">
        <w:rPr>
          <w:rFonts w:ascii="Times New Roman" w:hAnsi="Times New Roman"/>
          <w:color w:val="000000"/>
          <w:lang w:val="fr-FR"/>
        </w:rPr>
        <w:t>d</w:t>
      </w:r>
      <w:r w:rsidR="00203727">
        <w:rPr>
          <w:rFonts w:ascii="Times New Roman" w:hAnsi="Times New Roman"/>
          <w:color w:val="000000"/>
          <w:lang w:val="fr-FR"/>
        </w:rPr>
        <w:t xml:space="preserve">’adopter </w:t>
      </w:r>
      <w:r w:rsidRPr="003A3218">
        <w:rPr>
          <w:rFonts w:ascii="Times New Roman" w:hAnsi="Times New Roman"/>
          <w:color w:val="000000"/>
          <w:lang w:val="fr-FR"/>
        </w:rPr>
        <w:t xml:space="preserve">des lois et sur le caractère juridique et le statut de ces lois. Dans une décision de 2000, la Cour a examiné la constitutionnalité de la loi sur la police des frontières. Le Haut Représentant de Bosnie-Herzégovine a imposé cette loi suite à l’échec du Parlement à adopter un projet de loi proposé par la Présidence de Bosnie-Herzégovine. Compte tenu de la situation en Bosnie-Herzégovine et du rôle juridique du Haut </w:t>
      </w:r>
      <w:r w:rsidR="00130FC2" w:rsidRPr="003A3218">
        <w:rPr>
          <w:rFonts w:ascii="Times New Roman" w:hAnsi="Times New Roman"/>
          <w:color w:val="000000"/>
          <w:lang w:val="fr-FR"/>
        </w:rPr>
        <w:t xml:space="preserve">Représentant </w:t>
      </w:r>
      <w:r w:rsidRPr="003A3218">
        <w:rPr>
          <w:rFonts w:ascii="Times New Roman" w:hAnsi="Times New Roman"/>
          <w:color w:val="000000"/>
          <w:lang w:val="fr-FR"/>
        </w:rPr>
        <w:t>en tant qu’agent de la communauté internationale, ce</w:t>
      </w:r>
      <w:r w:rsidR="00130FC2">
        <w:rPr>
          <w:rFonts w:ascii="Times New Roman" w:hAnsi="Times New Roman"/>
          <w:color w:val="000000"/>
          <w:lang w:val="fr-FR"/>
        </w:rPr>
        <w:t xml:space="preserve"> fait </w:t>
      </w:r>
      <w:r w:rsidRPr="003A3218">
        <w:rPr>
          <w:rFonts w:ascii="Times New Roman" w:hAnsi="Times New Roman"/>
          <w:color w:val="000000"/>
          <w:lang w:val="fr-FR"/>
        </w:rPr>
        <w:t>n’</w:t>
      </w:r>
      <w:r w:rsidR="00130FC2">
        <w:rPr>
          <w:rFonts w:ascii="Times New Roman" w:hAnsi="Times New Roman"/>
          <w:color w:val="000000"/>
          <w:lang w:val="fr-FR"/>
        </w:rPr>
        <w:t xml:space="preserve">a pas </w:t>
      </w:r>
      <w:r w:rsidRPr="003A3218">
        <w:rPr>
          <w:rFonts w:ascii="Times New Roman" w:hAnsi="Times New Roman"/>
          <w:color w:val="000000"/>
          <w:lang w:val="fr-FR"/>
        </w:rPr>
        <w:t>ét</w:t>
      </w:r>
      <w:r w:rsidR="00130FC2">
        <w:rPr>
          <w:rFonts w:ascii="Times New Roman" w:hAnsi="Times New Roman"/>
          <w:color w:val="000000"/>
          <w:lang w:val="fr-FR"/>
        </w:rPr>
        <w:t xml:space="preserve">é </w:t>
      </w:r>
      <w:r w:rsidRPr="003A3218">
        <w:rPr>
          <w:rFonts w:ascii="Times New Roman" w:hAnsi="Times New Roman"/>
          <w:color w:val="000000"/>
          <w:lang w:val="fr-FR"/>
        </w:rPr>
        <w:t xml:space="preserve">sans précédent, des fonctions similaires ayant été exercées dans d’autres pays dans des circonstances politiques particulières. La Cour a également noté que le Haut </w:t>
      </w:r>
      <w:r w:rsidR="006A20B3" w:rsidRPr="003A3218">
        <w:rPr>
          <w:rFonts w:ascii="Times New Roman" w:hAnsi="Times New Roman"/>
          <w:color w:val="000000"/>
          <w:lang w:val="fr-FR"/>
        </w:rPr>
        <w:t xml:space="preserve">Représentant </w:t>
      </w:r>
      <w:r w:rsidRPr="003A3218">
        <w:rPr>
          <w:rFonts w:ascii="Times New Roman" w:hAnsi="Times New Roman"/>
          <w:color w:val="000000"/>
          <w:lang w:val="fr-FR"/>
        </w:rPr>
        <w:t>était investi de pouvoirs spéciaux par la communauté internationale et que son mandat était de nature internationale. Comme l’a noté la Cour, indépendamment de la nature des pouvoirs conférés au Haut Représentant par l’Accord-cadre général pour la paix en Bosnie-Herzégovine, le fait que la loi sur la police des frontières ait été adoptée par le Haut Représentant et non par le Parlement n’a pas modifié son statut de loi, ni dans la forme ni dans le fond, puisque, indépendamment de sa conformité à la Constitution, elle réglemente un domaine relevant de la compétence du Parlement.</w:t>
      </w:r>
    </w:p>
    <w:p w14:paraId="3A14960A" w14:textId="77777777" w:rsidR="008F2AB7" w:rsidRPr="003A3218" w:rsidRDefault="008F2AB7" w:rsidP="00C10554">
      <w:pPr>
        <w:pStyle w:val="Pa18"/>
        <w:spacing w:line="276" w:lineRule="auto"/>
        <w:jc w:val="both"/>
        <w:rPr>
          <w:rFonts w:ascii="Times New Roman" w:hAnsi="Times New Roman"/>
          <w:color w:val="000000"/>
          <w:lang w:val="fr-FR"/>
        </w:rPr>
      </w:pPr>
      <w:r w:rsidRPr="003A3218">
        <w:rPr>
          <w:rFonts w:ascii="Times New Roman" w:hAnsi="Times New Roman"/>
          <w:color w:val="000000"/>
          <w:lang w:val="fr-FR"/>
        </w:rPr>
        <w:t>La Cour constitutionnelle de la République tchèque a également toujours considéré que la résolution des questions fondamentales concernant les êtres humains en tant qu’espèce biologique, leur vie et leurs relations, c’est-à-dire les questions relatives à la famille, à la parentalité et au mariage, relève de la seule compétence du législateur national. La transformation de ces questions en questions judiciaires conduirait à la politisation de la Cour constitutionnelle et donc à l’affaiblissement de sa position en tant qu’organe judiciaire impartial et indépendant protégeant l’ordre constitutionnel.</w:t>
      </w:r>
    </w:p>
    <w:p w14:paraId="42CCDE11" w14:textId="77777777" w:rsidR="008F2AB7" w:rsidRPr="003A3218" w:rsidRDefault="008F2AB7" w:rsidP="00C10554">
      <w:pPr>
        <w:pStyle w:val="Pa18"/>
        <w:spacing w:after="160" w:line="276" w:lineRule="auto"/>
        <w:jc w:val="both"/>
        <w:rPr>
          <w:rStyle w:val="Emphasis"/>
          <w:rFonts w:ascii="Times New Roman" w:hAnsi="Times New Roman"/>
          <w:color w:val="0E101A"/>
          <w:lang w:val="fr-FR"/>
        </w:rPr>
      </w:pPr>
      <w:r w:rsidRPr="004E4F1F">
        <w:rPr>
          <w:rFonts w:ascii="Times New Roman" w:hAnsi="Times New Roman"/>
          <w:b/>
          <w:color w:val="000000"/>
          <w:lang w:val="fr-FR"/>
        </w:rPr>
        <w:t>7.</w:t>
      </w:r>
      <w:r w:rsidRPr="003A3218">
        <w:rPr>
          <w:rFonts w:ascii="Times New Roman" w:hAnsi="Times New Roman"/>
          <w:color w:val="000000"/>
          <w:lang w:val="fr-FR"/>
        </w:rPr>
        <w:t xml:space="preserve"> « Plus la législation concerne une vaste question de politique sociale, moins un</w:t>
      </w:r>
      <w:r w:rsidR="00A87185">
        <w:rPr>
          <w:rFonts w:ascii="Times New Roman" w:hAnsi="Times New Roman"/>
          <w:color w:val="000000"/>
          <w:lang w:val="fr-FR"/>
        </w:rPr>
        <w:t>e</w:t>
      </w:r>
      <w:r w:rsidRPr="003A3218">
        <w:rPr>
          <w:rFonts w:ascii="Times New Roman" w:hAnsi="Times New Roman"/>
          <w:color w:val="000000"/>
          <w:lang w:val="fr-FR"/>
        </w:rPr>
        <w:t xml:space="preserve"> </w:t>
      </w:r>
      <w:r w:rsidR="00A87185">
        <w:rPr>
          <w:rFonts w:ascii="Times New Roman" w:hAnsi="Times New Roman"/>
          <w:color w:val="000000"/>
          <w:lang w:val="fr-FR"/>
        </w:rPr>
        <w:t xml:space="preserve">cour </w:t>
      </w:r>
      <w:r w:rsidRPr="003A3218">
        <w:rPr>
          <w:rFonts w:ascii="Times New Roman" w:hAnsi="Times New Roman"/>
          <w:color w:val="000000"/>
          <w:lang w:val="fr-FR"/>
        </w:rPr>
        <w:t>sera disposé</w:t>
      </w:r>
      <w:r w:rsidR="00A87185">
        <w:rPr>
          <w:rFonts w:ascii="Times New Roman" w:hAnsi="Times New Roman"/>
          <w:color w:val="000000"/>
          <w:lang w:val="fr-FR"/>
        </w:rPr>
        <w:t>e</w:t>
      </w:r>
      <w:r w:rsidRPr="003A3218">
        <w:rPr>
          <w:rFonts w:ascii="Times New Roman" w:hAnsi="Times New Roman"/>
          <w:color w:val="000000"/>
          <w:lang w:val="fr-FR"/>
        </w:rPr>
        <w:t xml:space="preserve"> à intervenir ». En répondant à la question de savoir s’il s’agit d’une norme valable dans son </w:t>
      </w:r>
      <w:r w:rsidR="00A87185">
        <w:rPr>
          <w:rFonts w:ascii="Times New Roman" w:hAnsi="Times New Roman"/>
          <w:color w:val="000000"/>
          <w:lang w:val="fr-FR"/>
        </w:rPr>
        <w:t>activité</w:t>
      </w:r>
      <w:r w:rsidRPr="003A3218">
        <w:rPr>
          <w:rFonts w:ascii="Times New Roman" w:hAnsi="Times New Roman"/>
          <w:color w:val="000000"/>
          <w:lang w:val="fr-FR"/>
        </w:rPr>
        <w:t xml:space="preserve">, la Cour suprême d’Irlande a noté que les tribunaux irlandais ne seront pas dissuadés de statuer sur des questions de droit constitutionnel, même lorsque la question concerne une politique sociale </w:t>
      </w:r>
      <w:r w:rsidR="00A87185">
        <w:rPr>
          <w:rFonts w:ascii="Times New Roman" w:hAnsi="Times New Roman"/>
          <w:color w:val="000000"/>
          <w:lang w:val="fr-FR"/>
        </w:rPr>
        <w:t>vaste</w:t>
      </w:r>
      <w:r w:rsidRPr="003A3218">
        <w:rPr>
          <w:rFonts w:ascii="Times New Roman" w:hAnsi="Times New Roman"/>
          <w:color w:val="000000"/>
          <w:lang w:val="fr-FR"/>
        </w:rPr>
        <w:t xml:space="preserve">. Toutefois, les tribunaux ont parfois fait preuve de </w:t>
      </w:r>
      <w:r w:rsidR="00A87185">
        <w:rPr>
          <w:rFonts w:ascii="Times New Roman" w:hAnsi="Times New Roman"/>
          <w:color w:val="000000"/>
          <w:lang w:val="fr-FR"/>
        </w:rPr>
        <w:t>déférence</w:t>
      </w:r>
      <w:r w:rsidRPr="003A3218">
        <w:rPr>
          <w:rFonts w:ascii="Times New Roman" w:hAnsi="Times New Roman"/>
          <w:color w:val="000000"/>
          <w:lang w:val="fr-FR"/>
        </w:rPr>
        <w:t xml:space="preserve"> sur des questions de politique sociale </w:t>
      </w:r>
      <w:r w:rsidR="00A87185">
        <w:rPr>
          <w:rFonts w:ascii="Times New Roman" w:hAnsi="Times New Roman"/>
          <w:color w:val="000000"/>
          <w:lang w:val="fr-FR"/>
        </w:rPr>
        <w:t xml:space="preserve">vaste </w:t>
      </w:r>
      <w:r w:rsidRPr="003A3218">
        <w:rPr>
          <w:rFonts w:ascii="Times New Roman" w:hAnsi="Times New Roman"/>
          <w:color w:val="000000"/>
          <w:lang w:val="fr-FR"/>
        </w:rPr>
        <w:t>: par exemple, ils ont hésité à invalider, pour des raisons d’égalité, l</w:t>
      </w:r>
      <w:r w:rsidR="00D232D1">
        <w:rPr>
          <w:rFonts w:ascii="Times New Roman" w:hAnsi="Times New Roman"/>
          <w:color w:val="000000"/>
          <w:lang w:val="fr-FR"/>
        </w:rPr>
        <w:t xml:space="preserve">e </w:t>
      </w:r>
      <w:r w:rsidRPr="003A3218">
        <w:rPr>
          <w:rFonts w:ascii="Times New Roman" w:hAnsi="Times New Roman"/>
          <w:color w:val="000000"/>
          <w:lang w:val="fr-FR"/>
        </w:rPr>
        <w:t xml:space="preserve">traitement </w:t>
      </w:r>
      <w:r w:rsidR="00D232D1" w:rsidRPr="003A3218">
        <w:rPr>
          <w:rFonts w:ascii="Times New Roman" w:hAnsi="Times New Roman"/>
          <w:color w:val="000000"/>
          <w:lang w:val="fr-FR"/>
        </w:rPr>
        <w:t>différen</w:t>
      </w:r>
      <w:r w:rsidR="00D232D1">
        <w:rPr>
          <w:rFonts w:ascii="Times New Roman" w:hAnsi="Times New Roman"/>
          <w:color w:val="000000"/>
          <w:lang w:val="fr-FR"/>
        </w:rPr>
        <w:t xml:space="preserve">t </w:t>
      </w:r>
      <w:r w:rsidRPr="003A3218">
        <w:rPr>
          <w:rFonts w:ascii="Times New Roman" w:hAnsi="Times New Roman"/>
          <w:color w:val="000000"/>
          <w:lang w:val="fr-FR"/>
        </w:rPr>
        <w:t>entre les filles et les garçons en ce qui concerne l’activité sexuelle des mineurs</w:t>
      </w:r>
      <w:r w:rsidRPr="003A3218">
        <w:rPr>
          <w:rFonts w:ascii="Times New Roman" w:hAnsi="Times New Roman"/>
          <w:lang w:val="fr-FR"/>
        </w:rPr>
        <w:t>.</w:t>
      </w:r>
      <w:r w:rsidRPr="003A3218">
        <w:rPr>
          <w:rStyle w:val="Emphasis"/>
          <w:rFonts w:ascii="Times New Roman" w:hAnsi="Times New Roman"/>
          <w:color w:val="0E101A"/>
          <w:lang w:val="fr-FR"/>
        </w:rPr>
        <w:t> </w:t>
      </w:r>
    </w:p>
    <w:p w14:paraId="4870033F"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Le Tribunal fédéral suisse adopte une approche différente. Il fait souvent preuve </w:t>
      </w:r>
      <w:r w:rsidR="0051764A">
        <w:rPr>
          <w:rFonts w:ascii="Times New Roman" w:hAnsi="Times New Roman"/>
          <w:color w:val="000000"/>
          <w:sz w:val="24"/>
          <w:szCs w:val="24"/>
          <w:lang w:val="fr-FR"/>
        </w:rPr>
        <w:t xml:space="preserve">d’autolimitation </w:t>
      </w:r>
      <w:r w:rsidRPr="003A3218">
        <w:rPr>
          <w:rFonts w:ascii="Times New Roman" w:hAnsi="Times New Roman"/>
          <w:color w:val="000000"/>
          <w:sz w:val="24"/>
          <w:szCs w:val="24"/>
          <w:lang w:val="fr-FR"/>
        </w:rPr>
        <w:t>lorsqu’il est confronté à des questions politiquement sensibles. L’arrêt du Tribunal fédé</w:t>
      </w:r>
      <w:r w:rsidR="00005A78">
        <w:rPr>
          <w:rFonts w:ascii="Times New Roman" w:hAnsi="Times New Roman"/>
          <w:color w:val="000000"/>
          <w:sz w:val="24"/>
          <w:szCs w:val="24"/>
          <w:lang w:val="fr-FR"/>
        </w:rPr>
        <w:t xml:space="preserve">ral dans l’affaire </w:t>
      </w:r>
      <w:r w:rsidRPr="003A3218">
        <w:rPr>
          <w:rFonts w:ascii="Times New Roman" w:hAnsi="Times New Roman"/>
          <w:color w:val="000000"/>
          <w:sz w:val="24"/>
          <w:szCs w:val="24"/>
          <w:lang w:val="fr-FR"/>
        </w:rPr>
        <w:t>«</w:t>
      </w:r>
      <w:r w:rsidR="00005A78" w:rsidRPr="00005A78">
        <w:rPr>
          <w:rFonts w:ascii="Times New Roman" w:hAnsi="Times New Roman"/>
          <w:color w:val="000000"/>
          <w:sz w:val="24"/>
          <w:szCs w:val="24"/>
          <w:lang w:val="fr-FR"/>
        </w:rPr>
        <w:t>Aînées</w:t>
      </w:r>
      <w:r w:rsidR="00005A78">
        <w:rPr>
          <w:rFonts w:ascii="Times New Roman" w:hAnsi="Times New Roman"/>
          <w:color w:val="000000"/>
          <w:sz w:val="24"/>
          <w:szCs w:val="24"/>
          <w:lang w:val="fr-FR"/>
        </w:rPr>
        <w:t xml:space="preserve"> </w:t>
      </w:r>
      <w:r w:rsidRPr="003A3218">
        <w:rPr>
          <w:rFonts w:ascii="Times New Roman" w:hAnsi="Times New Roman"/>
          <w:color w:val="000000"/>
          <w:sz w:val="24"/>
          <w:szCs w:val="24"/>
          <w:lang w:val="fr-FR"/>
        </w:rPr>
        <w:t xml:space="preserve">pour la protection du climat » mérite d’être mentionné dans ce contexte. Dans leur recours, les requérants demandaient que le gouvernement suisse prenne plusieurs mesures pour lutter contre le réchauffement climatique et qu’il réglemente le cadre juridique relatif à ses effets. En réponse à cette demande, le Tribunal a fait preuve de retenue et a souligné qu’en vertu du droit constitutionnel suisse, les propositions de mise en œuvre d’une politique publique spécifique dans un domaine faisant l’objet d’un débat peuvent en principe être introduites par le </w:t>
      </w:r>
      <w:r w:rsidRPr="003A3218">
        <w:rPr>
          <w:rFonts w:ascii="Times New Roman" w:hAnsi="Times New Roman"/>
          <w:color w:val="000000"/>
          <w:sz w:val="24"/>
          <w:szCs w:val="24"/>
          <w:lang w:val="fr-FR"/>
        </w:rPr>
        <w:lastRenderedPageBreak/>
        <w:t>biais d’une participation démocratique. Le Tribunal a noté que « des objectifs de ce type ne peuvent pas être atteints par des moyens juridiques, mais par les moyens politiques que le système suisse offre suffisamment par le biais des instruments démocratiques ». Le Tribunal fédéral fait également souvent preuve de retenue dans sa jurisprudence sur des questions sensibles de politique</w:t>
      </w:r>
      <w:r w:rsidR="00A809F2">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sociale</w:t>
      </w:r>
      <w:r w:rsidR="00A809F2">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A cet égard, on peut citer les décisions relatives à l’indemnisation de l’assurance accident des étudiants salariés, à l’examen des conditions d’octroi d’une rente de veuve ou de veuf, ou encore au regroupement familial dans le cas d’une personne ayant acquis la nationalité suisse. </w:t>
      </w:r>
    </w:p>
    <w:p w14:paraId="0C397642" w14:textId="77777777" w:rsidR="008F2AB7" w:rsidRPr="003A3218" w:rsidRDefault="008F2AB7" w:rsidP="00C10554">
      <w:pPr>
        <w:spacing w:line="276" w:lineRule="auto"/>
        <w:jc w:val="both"/>
        <w:rPr>
          <w:rFonts w:ascii="Times New Roman" w:hAnsi="Times New Roman"/>
          <w:color w:val="000000"/>
          <w:sz w:val="24"/>
          <w:szCs w:val="24"/>
          <w:lang w:val="fr-FR"/>
        </w:rPr>
      </w:pPr>
      <w:r w:rsidRPr="00526747">
        <w:rPr>
          <w:rFonts w:ascii="Times New Roman" w:hAnsi="Times New Roman"/>
          <w:b/>
          <w:color w:val="000000"/>
          <w:sz w:val="24"/>
          <w:szCs w:val="24"/>
          <w:lang w:val="fr-FR"/>
        </w:rPr>
        <w:t>8.</w:t>
      </w:r>
      <w:r w:rsidRPr="003A3218">
        <w:rPr>
          <w:rFonts w:ascii="Times New Roman" w:hAnsi="Times New Roman"/>
          <w:color w:val="000000"/>
          <w:sz w:val="24"/>
          <w:szCs w:val="24"/>
          <w:lang w:val="fr-FR"/>
        </w:rPr>
        <w:t xml:space="preserve"> Sur l’existence d’un principe général de déférence dans l’appréciation de la philosophie et de la politique pénale, la Cour suprême estonienne a répondu que le législat</w:t>
      </w:r>
      <w:r w:rsidR="00526747">
        <w:rPr>
          <w:rFonts w:ascii="Times New Roman" w:hAnsi="Times New Roman"/>
          <w:color w:val="000000"/>
          <w:sz w:val="24"/>
          <w:szCs w:val="24"/>
          <w:lang w:val="fr-FR"/>
        </w:rPr>
        <w:t xml:space="preserve">if </w:t>
      </w:r>
      <w:r w:rsidRPr="003A3218">
        <w:rPr>
          <w:rFonts w:ascii="Times New Roman" w:hAnsi="Times New Roman"/>
          <w:color w:val="000000"/>
          <w:sz w:val="24"/>
          <w:szCs w:val="24"/>
          <w:lang w:val="fr-FR"/>
        </w:rPr>
        <w:t xml:space="preserve">possède le pouvoir exclusif d’imposer des sanctions pénales et </w:t>
      </w:r>
      <w:r w:rsidR="00526747">
        <w:rPr>
          <w:rFonts w:ascii="Times New Roman" w:hAnsi="Times New Roman"/>
          <w:color w:val="000000"/>
          <w:sz w:val="24"/>
          <w:szCs w:val="24"/>
          <w:lang w:val="fr-FR"/>
        </w:rPr>
        <w:t>possède</w:t>
      </w:r>
      <w:r w:rsidRPr="003A3218">
        <w:rPr>
          <w:rFonts w:ascii="Times New Roman" w:hAnsi="Times New Roman"/>
          <w:color w:val="000000"/>
          <w:sz w:val="24"/>
          <w:szCs w:val="24"/>
          <w:lang w:val="fr-FR"/>
        </w:rPr>
        <w:t xml:space="preserve"> une marge </w:t>
      </w:r>
      <w:r w:rsidR="00526747">
        <w:rPr>
          <w:rFonts w:ascii="Times New Roman" w:hAnsi="Times New Roman"/>
          <w:color w:val="000000"/>
          <w:sz w:val="24"/>
          <w:szCs w:val="24"/>
          <w:lang w:val="fr-FR"/>
        </w:rPr>
        <w:t>discrétionnaire</w:t>
      </w:r>
      <w:r w:rsidRPr="003A3218">
        <w:rPr>
          <w:rFonts w:ascii="Times New Roman" w:hAnsi="Times New Roman"/>
          <w:color w:val="000000"/>
          <w:sz w:val="24"/>
          <w:szCs w:val="24"/>
          <w:lang w:val="fr-FR"/>
        </w:rPr>
        <w:t xml:space="preserve"> </w:t>
      </w:r>
      <w:r w:rsidR="00527440" w:rsidRPr="003A3218">
        <w:rPr>
          <w:rFonts w:ascii="Times New Roman" w:hAnsi="Times New Roman"/>
          <w:color w:val="000000"/>
          <w:sz w:val="24"/>
          <w:szCs w:val="24"/>
          <w:lang w:val="fr-FR"/>
        </w:rPr>
        <w:t xml:space="preserve">large </w:t>
      </w:r>
      <w:r w:rsidRPr="003A3218">
        <w:rPr>
          <w:rFonts w:ascii="Times New Roman" w:hAnsi="Times New Roman"/>
          <w:color w:val="000000"/>
          <w:sz w:val="24"/>
          <w:szCs w:val="24"/>
          <w:lang w:val="fr-FR"/>
        </w:rPr>
        <w:t xml:space="preserve">dans la définition de la peine appropriée pour une infraction (y compris les limites de la peine). L’échelle des peines dépend des valeurs partagées par la société et </w:t>
      </w:r>
      <w:r w:rsidR="00527440">
        <w:rPr>
          <w:rFonts w:ascii="Times New Roman" w:hAnsi="Times New Roman"/>
          <w:color w:val="000000"/>
          <w:sz w:val="24"/>
          <w:szCs w:val="24"/>
          <w:lang w:val="fr-FR"/>
        </w:rPr>
        <w:t xml:space="preserve">le </w:t>
      </w:r>
      <w:r w:rsidR="00527440" w:rsidRPr="00527440">
        <w:rPr>
          <w:rFonts w:ascii="Times New Roman" w:hAnsi="Times New Roman"/>
          <w:color w:val="000000"/>
          <w:sz w:val="24"/>
          <w:szCs w:val="24"/>
          <w:lang w:val="fr-FR"/>
        </w:rPr>
        <w:t xml:space="preserve">pouvoir législatif </w:t>
      </w:r>
      <w:r w:rsidRPr="003A3218">
        <w:rPr>
          <w:rFonts w:ascii="Times New Roman" w:hAnsi="Times New Roman"/>
          <w:color w:val="000000"/>
          <w:sz w:val="24"/>
          <w:szCs w:val="24"/>
          <w:lang w:val="fr-FR"/>
        </w:rPr>
        <w:t xml:space="preserve">est compétent pour les exprimer. Cette marge permet au Parlement de </w:t>
      </w:r>
      <w:r w:rsidR="00527440">
        <w:rPr>
          <w:rFonts w:ascii="Times New Roman" w:hAnsi="Times New Roman"/>
          <w:color w:val="000000"/>
          <w:sz w:val="24"/>
          <w:szCs w:val="24"/>
          <w:lang w:val="fr-FR"/>
        </w:rPr>
        <w:t xml:space="preserve">modeler </w:t>
      </w:r>
      <w:r w:rsidRPr="003A3218">
        <w:rPr>
          <w:rFonts w:ascii="Times New Roman" w:hAnsi="Times New Roman"/>
          <w:color w:val="000000"/>
          <w:sz w:val="24"/>
          <w:szCs w:val="24"/>
          <w:lang w:val="fr-FR"/>
        </w:rPr>
        <w:t xml:space="preserve">la politique pénale nationale et d’influencer les comportements criminels. Il découle du principe de la séparation des pouvoirs que les tribunaux ne peuvent pas commencer à </w:t>
      </w:r>
      <w:r w:rsidR="00600C25">
        <w:rPr>
          <w:rFonts w:ascii="Times New Roman" w:hAnsi="Times New Roman"/>
          <w:color w:val="000000"/>
          <w:sz w:val="24"/>
          <w:szCs w:val="24"/>
          <w:lang w:val="fr-FR"/>
        </w:rPr>
        <w:t xml:space="preserve">modeler </w:t>
      </w:r>
      <w:r w:rsidRPr="003A3218">
        <w:rPr>
          <w:rFonts w:ascii="Times New Roman" w:hAnsi="Times New Roman"/>
          <w:color w:val="000000"/>
          <w:sz w:val="24"/>
          <w:szCs w:val="24"/>
          <w:lang w:val="fr-FR"/>
        </w:rPr>
        <w:t xml:space="preserve">le système de sanctions à la place du </w:t>
      </w:r>
      <w:r w:rsidR="00600C25">
        <w:rPr>
          <w:rFonts w:ascii="Times New Roman" w:hAnsi="Times New Roman"/>
          <w:color w:val="000000"/>
          <w:sz w:val="24"/>
          <w:szCs w:val="24"/>
          <w:lang w:val="fr-FR"/>
        </w:rPr>
        <w:t xml:space="preserve">pouvoir </w:t>
      </w:r>
      <w:r w:rsidRPr="003A3218">
        <w:rPr>
          <w:rFonts w:ascii="Times New Roman" w:hAnsi="Times New Roman"/>
          <w:color w:val="000000"/>
          <w:sz w:val="24"/>
          <w:szCs w:val="24"/>
          <w:lang w:val="fr-FR"/>
        </w:rPr>
        <w:t>législat</w:t>
      </w:r>
      <w:r w:rsidR="00600C25">
        <w:rPr>
          <w:rFonts w:ascii="Times New Roman" w:hAnsi="Times New Roman"/>
          <w:color w:val="000000"/>
          <w:sz w:val="24"/>
          <w:szCs w:val="24"/>
          <w:lang w:val="fr-FR"/>
        </w:rPr>
        <w:t>if</w:t>
      </w:r>
      <w:r w:rsidRPr="003A3218">
        <w:rPr>
          <w:rFonts w:ascii="Times New Roman" w:hAnsi="Times New Roman"/>
          <w:color w:val="000000"/>
          <w:sz w:val="24"/>
          <w:szCs w:val="24"/>
          <w:lang w:val="fr-FR"/>
        </w:rPr>
        <w:t>, sur la base d’objectifs abstraits de politique pénale. Cependant, l</w:t>
      </w:r>
      <w:r w:rsidR="00600C25">
        <w:rPr>
          <w:rFonts w:ascii="Times New Roman" w:hAnsi="Times New Roman"/>
          <w:color w:val="000000"/>
          <w:sz w:val="24"/>
          <w:szCs w:val="24"/>
          <w:lang w:val="fr-FR"/>
        </w:rPr>
        <w:t>a</w:t>
      </w:r>
      <w:r w:rsidRPr="003A3218">
        <w:rPr>
          <w:rFonts w:ascii="Times New Roman" w:hAnsi="Times New Roman"/>
          <w:color w:val="000000"/>
          <w:sz w:val="24"/>
          <w:szCs w:val="24"/>
          <w:lang w:val="fr-FR"/>
        </w:rPr>
        <w:t xml:space="preserve"> </w:t>
      </w:r>
      <w:r w:rsidR="00600C25" w:rsidRPr="003A3218">
        <w:rPr>
          <w:rFonts w:ascii="Times New Roman" w:hAnsi="Times New Roman"/>
          <w:color w:val="000000"/>
          <w:sz w:val="24"/>
          <w:szCs w:val="24"/>
          <w:lang w:val="fr-FR"/>
        </w:rPr>
        <w:t xml:space="preserve">marge </w:t>
      </w:r>
      <w:r w:rsidR="00600C25">
        <w:rPr>
          <w:rFonts w:ascii="Times New Roman" w:hAnsi="Times New Roman"/>
          <w:color w:val="000000"/>
          <w:sz w:val="24"/>
          <w:szCs w:val="24"/>
          <w:lang w:val="fr-FR"/>
        </w:rPr>
        <w:t>discrétionnaire</w:t>
      </w:r>
      <w:r w:rsidR="00600C25" w:rsidRPr="003A3218">
        <w:rPr>
          <w:rFonts w:ascii="Times New Roman" w:hAnsi="Times New Roman"/>
          <w:color w:val="000000"/>
          <w:sz w:val="24"/>
          <w:szCs w:val="24"/>
          <w:lang w:val="fr-FR"/>
        </w:rPr>
        <w:t xml:space="preserve"> large </w:t>
      </w:r>
      <w:r w:rsidRPr="003A3218">
        <w:rPr>
          <w:rFonts w:ascii="Times New Roman" w:hAnsi="Times New Roman"/>
          <w:color w:val="000000"/>
          <w:sz w:val="24"/>
          <w:szCs w:val="24"/>
          <w:lang w:val="fr-FR"/>
        </w:rPr>
        <w:t>du législat</w:t>
      </w:r>
      <w:r w:rsidR="00600C25">
        <w:rPr>
          <w:rFonts w:ascii="Times New Roman" w:hAnsi="Times New Roman"/>
          <w:color w:val="000000"/>
          <w:sz w:val="24"/>
          <w:szCs w:val="24"/>
          <w:lang w:val="fr-FR"/>
        </w:rPr>
        <w:t xml:space="preserve">if </w:t>
      </w:r>
      <w:r w:rsidRPr="003A3218">
        <w:rPr>
          <w:rFonts w:ascii="Times New Roman" w:hAnsi="Times New Roman"/>
          <w:color w:val="000000"/>
          <w:sz w:val="24"/>
          <w:szCs w:val="24"/>
          <w:lang w:val="fr-FR"/>
        </w:rPr>
        <w:t>n’exclut pas le pouvoir des tribunaux d’évaluer la conformité d’une règle de droit pénal, y compris d’une sanction, avec la Constitution.</w:t>
      </w:r>
    </w:p>
    <w:p w14:paraId="137A8ACF"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Cour constitutionnelle allemande ne se prononce pas sur des questions </w:t>
      </w:r>
      <w:r w:rsidR="00600C25">
        <w:rPr>
          <w:rFonts w:ascii="Times New Roman" w:hAnsi="Times New Roman"/>
          <w:color w:val="000000"/>
          <w:sz w:val="24"/>
          <w:szCs w:val="24"/>
          <w:lang w:val="fr-FR"/>
        </w:rPr>
        <w:t xml:space="preserve">liées à la </w:t>
      </w:r>
      <w:r w:rsidRPr="003A3218">
        <w:rPr>
          <w:rFonts w:ascii="Times New Roman" w:hAnsi="Times New Roman"/>
          <w:color w:val="000000"/>
          <w:sz w:val="24"/>
          <w:szCs w:val="24"/>
          <w:lang w:val="fr-FR"/>
        </w:rPr>
        <w:t>philosophie</w:t>
      </w:r>
      <w:r w:rsidR="00600C25">
        <w:rPr>
          <w:rFonts w:ascii="Times New Roman" w:hAnsi="Times New Roman"/>
          <w:color w:val="000000"/>
          <w:sz w:val="24"/>
          <w:szCs w:val="24"/>
          <w:lang w:val="fr-FR"/>
        </w:rPr>
        <w:t xml:space="preserve"> du droit pénal</w:t>
      </w:r>
      <w:r w:rsidRPr="003A3218">
        <w:rPr>
          <w:rFonts w:ascii="Times New Roman" w:hAnsi="Times New Roman"/>
          <w:color w:val="000000"/>
          <w:sz w:val="24"/>
          <w:szCs w:val="24"/>
          <w:lang w:val="fr-FR"/>
        </w:rPr>
        <w:t xml:space="preserve"> ou </w:t>
      </w:r>
      <w:r w:rsidR="00600C25">
        <w:rPr>
          <w:rFonts w:ascii="Times New Roman" w:hAnsi="Times New Roman"/>
          <w:color w:val="000000"/>
          <w:sz w:val="24"/>
          <w:szCs w:val="24"/>
          <w:lang w:val="fr-FR"/>
        </w:rPr>
        <w:t xml:space="preserve">à la </w:t>
      </w:r>
      <w:r w:rsidRPr="003A3218">
        <w:rPr>
          <w:rFonts w:ascii="Times New Roman" w:hAnsi="Times New Roman"/>
          <w:color w:val="000000"/>
          <w:sz w:val="24"/>
          <w:szCs w:val="24"/>
          <w:lang w:val="fr-FR"/>
        </w:rPr>
        <w:t xml:space="preserve">politique </w:t>
      </w:r>
      <w:r w:rsidR="00600C25">
        <w:rPr>
          <w:rFonts w:ascii="Times New Roman" w:hAnsi="Times New Roman"/>
          <w:color w:val="000000"/>
          <w:sz w:val="24"/>
          <w:szCs w:val="24"/>
          <w:lang w:val="fr-FR"/>
        </w:rPr>
        <w:t xml:space="preserve">en matière </w:t>
      </w:r>
      <w:r w:rsidRPr="003A3218">
        <w:rPr>
          <w:rFonts w:ascii="Times New Roman" w:hAnsi="Times New Roman"/>
          <w:color w:val="000000"/>
          <w:sz w:val="24"/>
          <w:szCs w:val="24"/>
          <w:lang w:val="fr-FR"/>
        </w:rPr>
        <w:t xml:space="preserve">pénale. La politique pénale doit s’inscrire dans le cadre constitutionnel et la philosophie du droit pénal ne précise aucune norme juridique directe et n’est donc pas soumise au contrôle de constitutionnalité. La Constitution allemande prévoit des conditions précises en matière de droit pénal. De l’article 101 à l’article 104, la Loi fondamentale énonce des droits procéduraux relatifs à la procédure pénale et équivalents aux droits fondamentaux. </w:t>
      </w:r>
    </w:p>
    <w:p w14:paraId="5F2BEFF4"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color w:val="000000"/>
          <w:sz w:val="24"/>
          <w:szCs w:val="24"/>
          <w:lang w:val="fr-FR"/>
        </w:rPr>
        <w:t xml:space="preserve">La Cour constitutionnelle d’Espagne vérifie uniquement si la règle pénale ne conduit pas à un gaspillage inutile de la contrainte, ce qui rend la règle arbitraire et porte atteinte aux principes élémentaires de justice inhérents à la dignité de la personne et à la prééminence de la loi. La proportionnalité d’une réponse pénale peut être confirmée lorsque la règle vise à « préserver des droits ou des intérêts qui ne sont pas interdits </w:t>
      </w:r>
      <w:r w:rsidR="00517DAA">
        <w:rPr>
          <w:rFonts w:ascii="Times New Roman" w:hAnsi="Times New Roman"/>
          <w:color w:val="000000"/>
          <w:sz w:val="24"/>
          <w:szCs w:val="24"/>
          <w:lang w:val="fr-FR"/>
        </w:rPr>
        <w:t>du point de vue</w:t>
      </w:r>
      <w:r w:rsidRPr="003A3218">
        <w:rPr>
          <w:rFonts w:ascii="Times New Roman" w:hAnsi="Times New Roman"/>
          <w:color w:val="000000"/>
          <w:sz w:val="24"/>
          <w:szCs w:val="24"/>
          <w:lang w:val="fr-FR"/>
        </w:rPr>
        <w:t xml:space="preserve"> </w:t>
      </w:r>
      <w:r w:rsidR="00517DAA">
        <w:rPr>
          <w:rFonts w:ascii="Times New Roman" w:hAnsi="Times New Roman"/>
          <w:color w:val="000000"/>
          <w:sz w:val="24"/>
          <w:szCs w:val="24"/>
          <w:lang w:val="fr-FR"/>
        </w:rPr>
        <w:t>c</w:t>
      </w:r>
      <w:r w:rsidRPr="003A3218">
        <w:rPr>
          <w:rFonts w:ascii="Times New Roman" w:hAnsi="Times New Roman"/>
          <w:color w:val="000000"/>
          <w:sz w:val="24"/>
          <w:szCs w:val="24"/>
          <w:lang w:val="fr-FR"/>
        </w:rPr>
        <w:t>onstitution</w:t>
      </w:r>
      <w:r w:rsidR="00517DAA">
        <w:rPr>
          <w:rFonts w:ascii="Times New Roman" w:hAnsi="Times New Roman"/>
          <w:color w:val="000000"/>
          <w:sz w:val="24"/>
          <w:szCs w:val="24"/>
          <w:lang w:val="fr-FR"/>
        </w:rPr>
        <w:t>nel</w:t>
      </w:r>
      <w:r w:rsidRPr="003A3218">
        <w:rPr>
          <w:rFonts w:ascii="Times New Roman" w:hAnsi="Times New Roman"/>
          <w:color w:val="000000"/>
          <w:sz w:val="24"/>
          <w:szCs w:val="24"/>
          <w:lang w:val="fr-FR"/>
        </w:rPr>
        <w:t xml:space="preserve"> et qui ne sont pas socialement non pertinents » et lorsque la sanction est « instrumentalement appropriée à cet objectif » et qu’elle est nécessaire et proportionnée à cette fin. « D</w:t>
      </w:r>
      <w:r w:rsidR="00517DAA">
        <w:rPr>
          <w:rFonts w:ascii="Times New Roman" w:hAnsi="Times New Roman"/>
          <w:color w:val="000000"/>
          <w:sz w:val="24"/>
          <w:szCs w:val="24"/>
          <w:lang w:val="fr-FR"/>
        </w:rPr>
        <w:t xml:space="preserve">e la perspective </w:t>
      </w:r>
      <w:r w:rsidRPr="003A3218">
        <w:rPr>
          <w:rFonts w:ascii="Times New Roman" w:hAnsi="Times New Roman"/>
          <w:color w:val="000000"/>
          <w:sz w:val="24"/>
          <w:szCs w:val="24"/>
          <w:lang w:val="fr-FR"/>
        </w:rPr>
        <w:t>constitutionnel</w:t>
      </w:r>
      <w:r w:rsidR="00517DAA">
        <w:rPr>
          <w:rFonts w:ascii="Times New Roman" w:hAnsi="Times New Roman"/>
          <w:color w:val="000000"/>
          <w:sz w:val="24"/>
          <w:szCs w:val="24"/>
          <w:lang w:val="fr-FR"/>
        </w:rPr>
        <w:t>le</w:t>
      </w:r>
      <w:r w:rsidRPr="003A3218">
        <w:rPr>
          <w:rFonts w:ascii="Times New Roman" w:hAnsi="Times New Roman"/>
          <w:color w:val="000000"/>
          <w:sz w:val="24"/>
          <w:szCs w:val="24"/>
          <w:lang w:val="fr-FR"/>
        </w:rPr>
        <w:t>, il sera possible de qualifier la règle ou la sanction pénale de non nécessaire lorsque, à la lumière du raisonnement logique, des informations empiriques non controversées et du nombre de sanctions que le législat</w:t>
      </w:r>
      <w:r w:rsidR="005A559B">
        <w:rPr>
          <w:rFonts w:ascii="Times New Roman" w:hAnsi="Times New Roman"/>
          <w:color w:val="000000"/>
          <w:sz w:val="24"/>
          <w:szCs w:val="24"/>
          <w:lang w:val="fr-FR"/>
        </w:rPr>
        <w:t xml:space="preserve">if </w:t>
      </w:r>
      <w:r w:rsidRPr="003A3218">
        <w:rPr>
          <w:rFonts w:ascii="Times New Roman" w:hAnsi="Times New Roman"/>
          <w:color w:val="000000"/>
          <w:sz w:val="24"/>
          <w:szCs w:val="24"/>
          <w:lang w:val="fr-FR"/>
        </w:rPr>
        <w:t>lui-même a jugées nécessaires pour atteindre des objectifs de protection similaires, l</w:t>
      </w:r>
      <w:r w:rsidR="005A559B">
        <w:rPr>
          <w:rFonts w:ascii="Times New Roman" w:hAnsi="Times New Roman"/>
          <w:color w:val="000000"/>
          <w:sz w:val="24"/>
          <w:szCs w:val="24"/>
          <w:lang w:val="fr-FR"/>
        </w:rPr>
        <w:t xml:space="preserve">e caractère </w:t>
      </w:r>
      <w:r w:rsidRPr="003A3218">
        <w:rPr>
          <w:rFonts w:ascii="Times New Roman" w:hAnsi="Times New Roman"/>
          <w:color w:val="000000"/>
          <w:sz w:val="24"/>
          <w:szCs w:val="24"/>
          <w:lang w:val="fr-FR"/>
        </w:rPr>
        <w:t>suffisan</w:t>
      </w:r>
      <w:r w:rsidR="005A559B">
        <w:rPr>
          <w:rFonts w:ascii="Times New Roman" w:hAnsi="Times New Roman"/>
          <w:color w:val="000000"/>
          <w:sz w:val="24"/>
          <w:szCs w:val="24"/>
          <w:lang w:val="fr-FR"/>
        </w:rPr>
        <w:t xml:space="preserve">t </w:t>
      </w:r>
      <w:r w:rsidRPr="003A3218">
        <w:rPr>
          <w:rFonts w:ascii="Times New Roman" w:hAnsi="Times New Roman"/>
          <w:color w:val="000000"/>
          <w:sz w:val="24"/>
          <w:szCs w:val="24"/>
          <w:lang w:val="fr-FR"/>
        </w:rPr>
        <w:t xml:space="preserve">de </w:t>
      </w:r>
      <w:r w:rsidR="005A559B">
        <w:rPr>
          <w:rFonts w:ascii="Times New Roman" w:hAnsi="Times New Roman"/>
          <w:color w:val="000000"/>
          <w:sz w:val="24"/>
          <w:szCs w:val="24"/>
          <w:lang w:val="fr-FR"/>
        </w:rPr>
        <w:t xml:space="preserve">certains </w:t>
      </w:r>
      <w:r w:rsidRPr="003A3218">
        <w:rPr>
          <w:rFonts w:ascii="Times New Roman" w:hAnsi="Times New Roman"/>
          <w:color w:val="000000"/>
          <w:sz w:val="24"/>
          <w:szCs w:val="24"/>
          <w:lang w:val="fr-FR"/>
        </w:rPr>
        <w:t xml:space="preserve">moyens alternatifs moins restrictifs des droits et permettant d’atteindre tout aussi bien les objectifs poursuivis par le législateur [...] est suffisant et la règle ou la sanction pénale peut être considérée comme disproportionnée lorsqu’il existe un déséquilibre </w:t>
      </w:r>
      <w:r w:rsidR="00E95316">
        <w:rPr>
          <w:rFonts w:ascii="Times New Roman" w:hAnsi="Times New Roman"/>
          <w:color w:val="000000"/>
          <w:sz w:val="24"/>
          <w:szCs w:val="24"/>
          <w:lang w:val="fr-FR"/>
        </w:rPr>
        <w:t xml:space="preserve">évident </w:t>
      </w:r>
      <w:r w:rsidRPr="003A3218">
        <w:rPr>
          <w:rFonts w:ascii="Times New Roman" w:hAnsi="Times New Roman"/>
          <w:color w:val="000000"/>
          <w:sz w:val="24"/>
          <w:szCs w:val="24"/>
          <w:lang w:val="fr-FR"/>
        </w:rPr>
        <w:t>et excessif ou déraisonnable entre la sanction et l’objet de la règle, sur la base d’indices axiologiques constitutionnellement incontestés et de leur mise en œuvre dans la législation</w:t>
      </w:r>
      <w:r w:rsidR="00FF41B8">
        <w:rPr>
          <w:rFonts w:ascii="Times New Roman" w:hAnsi="Times New Roman"/>
          <w:color w:val="000000"/>
          <w:sz w:val="24"/>
          <w:szCs w:val="24"/>
          <w:lang w:val="fr-FR"/>
        </w:rPr>
        <w:t> ».</w:t>
      </w:r>
      <w:r w:rsidRPr="003A3218">
        <w:rPr>
          <w:rFonts w:ascii="Times New Roman" w:hAnsi="Times New Roman"/>
          <w:sz w:val="24"/>
          <w:szCs w:val="24"/>
          <w:lang w:val="fr-FR"/>
        </w:rPr>
        <w:t xml:space="preserve"> </w:t>
      </w:r>
    </w:p>
    <w:p w14:paraId="33A14BCB"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lastRenderedPageBreak/>
        <w:t>Du point de vue de la Cour constitutionnelle belge, il n’existe pas de principe général de déférence dans l’appréciation de la philosophie et de</w:t>
      </w:r>
      <w:r w:rsidR="008546BA">
        <w:rPr>
          <w:rFonts w:ascii="Times New Roman" w:hAnsi="Times New Roman"/>
          <w:sz w:val="24"/>
          <w:szCs w:val="24"/>
          <w:lang w:val="fr-FR"/>
        </w:rPr>
        <w:t>s</w:t>
      </w:r>
      <w:r w:rsidRPr="003A3218">
        <w:rPr>
          <w:rFonts w:ascii="Times New Roman" w:hAnsi="Times New Roman"/>
          <w:sz w:val="24"/>
          <w:szCs w:val="24"/>
          <w:lang w:val="fr-FR"/>
        </w:rPr>
        <w:t xml:space="preserve"> politique</w:t>
      </w:r>
      <w:r w:rsidR="008546BA">
        <w:rPr>
          <w:rFonts w:ascii="Times New Roman" w:hAnsi="Times New Roman"/>
          <w:sz w:val="24"/>
          <w:szCs w:val="24"/>
          <w:lang w:val="fr-FR"/>
        </w:rPr>
        <w:t>s en matière</w:t>
      </w:r>
      <w:r w:rsidRPr="003A3218">
        <w:rPr>
          <w:rFonts w:ascii="Times New Roman" w:hAnsi="Times New Roman"/>
          <w:sz w:val="24"/>
          <w:szCs w:val="24"/>
          <w:lang w:val="fr-FR"/>
        </w:rPr>
        <w:t xml:space="preserve"> pénale. Au contraire, la règle est l</w:t>
      </w:r>
      <w:r w:rsidR="00E9569F">
        <w:rPr>
          <w:rFonts w:ascii="Times New Roman" w:hAnsi="Times New Roman"/>
          <w:sz w:val="24"/>
          <w:szCs w:val="24"/>
          <w:lang w:val="fr-FR"/>
        </w:rPr>
        <w:t xml:space="preserve">e contrôle </w:t>
      </w:r>
      <w:r w:rsidRPr="003A3218">
        <w:rPr>
          <w:rFonts w:ascii="Times New Roman" w:hAnsi="Times New Roman"/>
          <w:sz w:val="24"/>
          <w:szCs w:val="24"/>
          <w:lang w:val="fr-FR"/>
        </w:rPr>
        <w:t xml:space="preserve">au cas par cas. En général, les lois pénales sont </w:t>
      </w:r>
      <w:r w:rsidR="00E9569F">
        <w:rPr>
          <w:rFonts w:ascii="Times New Roman" w:hAnsi="Times New Roman"/>
          <w:sz w:val="24"/>
          <w:szCs w:val="24"/>
          <w:lang w:val="fr-FR"/>
        </w:rPr>
        <w:t>vérifi</w:t>
      </w:r>
      <w:r w:rsidRPr="003A3218">
        <w:rPr>
          <w:rFonts w:ascii="Times New Roman" w:hAnsi="Times New Roman"/>
          <w:sz w:val="24"/>
          <w:szCs w:val="24"/>
          <w:lang w:val="fr-FR"/>
        </w:rPr>
        <w:t>ées avec plus d’indulgence, par exemple l</w:t>
      </w:r>
      <w:r w:rsidR="003E3579">
        <w:rPr>
          <w:rFonts w:ascii="Times New Roman" w:hAnsi="Times New Roman"/>
          <w:sz w:val="24"/>
          <w:szCs w:val="24"/>
          <w:lang w:val="fr-FR"/>
        </w:rPr>
        <w:t>orsque le législateur décide d’</w:t>
      </w:r>
      <w:r w:rsidR="003E3579" w:rsidRPr="003E3579">
        <w:rPr>
          <w:rFonts w:ascii="Times New Roman" w:hAnsi="Times New Roman"/>
          <w:sz w:val="24"/>
          <w:szCs w:val="24"/>
          <w:lang w:val="fr-FR"/>
        </w:rPr>
        <w:t xml:space="preserve">incriminer </w:t>
      </w:r>
      <w:r w:rsidRPr="003A3218">
        <w:rPr>
          <w:rFonts w:ascii="Times New Roman" w:hAnsi="Times New Roman"/>
          <w:sz w:val="24"/>
          <w:szCs w:val="24"/>
          <w:lang w:val="fr-FR"/>
        </w:rPr>
        <w:t>une nouvelle infraction ou lorsqu’il choisit d’augmenter la sévérité des peines, ou plus strictement lorsqu’il évalue la conformité des lois pénales avec les articles 6 et 7 de la Convention européenne des droits de l’homme.</w:t>
      </w:r>
    </w:p>
    <w:p w14:paraId="4DE570A7"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tchèque a toujours considéré que la politique pénale, y compris la politique </w:t>
      </w:r>
      <w:r w:rsidR="003E3579">
        <w:rPr>
          <w:rFonts w:ascii="Times New Roman" w:hAnsi="Times New Roman"/>
          <w:sz w:val="24"/>
          <w:szCs w:val="24"/>
          <w:lang w:val="fr-FR"/>
        </w:rPr>
        <w:t>d’incrimination</w:t>
      </w:r>
      <w:r w:rsidRPr="003A3218">
        <w:rPr>
          <w:rFonts w:ascii="Times New Roman" w:hAnsi="Times New Roman"/>
          <w:sz w:val="24"/>
          <w:szCs w:val="24"/>
          <w:lang w:val="fr-FR"/>
        </w:rPr>
        <w:t xml:space="preserve">, impliquait un processus décisionnel complexe fondé sur des considérations criminologiques, sociales ou politiques. En conséquence, elle a exprimé sa réticence à l’égard des suggestions selon lesquelles certaines </w:t>
      </w:r>
      <w:r w:rsidR="00260D1E" w:rsidRPr="003A3218">
        <w:rPr>
          <w:rFonts w:ascii="Times New Roman" w:hAnsi="Times New Roman"/>
          <w:sz w:val="24"/>
          <w:szCs w:val="24"/>
          <w:lang w:val="fr-FR"/>
        </w:rPr>
        <w:t xml:space="preserve">actes </w:t>
      </w:r>
      <w:r w:rsidRPr="003A3218">
        <w:rPr>
          <w:rFonts w:ascii="Times New Roman" w:hAnsi="Times New Roman"/>
          <w:sz w:val="24"/>
          <w:szCs w:val="24"/>
          <w:lang w:val="fr-FR"/>
        </w:rPr>
        <w:t xml:space="preserve">ne devraient pas être </w:t>
      </w:r>
      <w:r w:rsidR="00260D1E">
        <w:rPr>
          <w:rFonts w:ascii="Times New Roman" w:hAnsi="Times New Roman"/>
          <w:sz w:val="24"/>
          <w:szCs w:val="24"/>
          <w:lang w:val="fr-FR"/>
        </w:rPr>
        <w:t>incriminés</w:t>
      </w:r>
      <w:r w:rsidRPr="003A3218">
        <w:rPr>
          <w:rFonts w:ascii="Times New Roman" w:hAnsi="Times New Roman"/>
          <w:sz w:val="24"/>
          <w:szCs w:val="24"/>
          <w:lang w:val="fr-FR"/>
        </w:rPr>
        <w:t xml:space="preserve"> ou que la punition pour des actes illégaux était disproportionnée. La décision du législateur de qualifier un type particulier de comportement d’infraction pénale en termes de définition formelle et de fixer l’étendue des limites de l’incrimination de certains types de comportement est avant tout une manifestation de la politique pénale de l’État, qui relève de la compétence d’autres autorités de l’État, et non de la Cour constitutionnelle. </w:t>
      </w:r>
    </w:p>
    <w:p w14:paraId="761FA290"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Dans sa jurisprudence, la Cour constitutionnelle de Roumanie a estimé que le Parlement est libre de décider de la politique pénale de l’État, étant la seule autorité législative de l’État. La Cour roumaine a également estimé qu’elle n’avait pas le pouvoir d’interférer dans la sphère de la politique pénale de l’État, toute attitude contraire constituant une ingérence dans la compétence constitutionnelle du pouvoir législatif.</w:t>
      </w:r>
    </w:p>
    <w:p w14:paraId="36AC5DBB"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Selon la Cour constitutionnelle portugaise, la question dominante est de savoir si la décision du législateur d</w:t>
      </w:r>
      <w:r w:rsidR="00260D1E">
        <w:rPr>
          <w:rFonts w:ascii="Times New Roman" w:hAnsi="Times New Roman"/>
          <w:sz w:val="24"/>
          <w:szCs w:val="24"/>
          <w:lang w:val="fr-FR"/>
        </w:rPr>
        <w:t>’in</w:t>
      </w:r>
      <w:r w:rsidRPr="003A3218">
        <w:rPr>
          <w:rFonts w:ascii="Times New Roman" w:hAnsi="Times New Roman"/>
          <w:sz w:val="24"/>
          <w:szCs w:val="24"/>
          <w:lang w:val="fr-FR"/>
        </w:rPr>
        <w:t>crimin</w:t>
      </w:r>
      <w:r w:rsidR="00260D1E">
        <w:rPr>
          <w:rFonts w:ascii="Times New Roman" w:hAnsi="Times New Roman"/>
          <w:sz w:val="24"/>
          <w:szCs w:val="24"/>
          <w:lang w:val="fr-FR"/>
        </w:rPr>
        <w:t xml:space="preserve">er </w:t>
      </w:r>
      <w:r w:rsidRPr="003A3218">
        <w:rPr>
          <w:rFonts w:ascii="Times New Roman" w:hAnsi="Times New Roman"/>
          <w:sz w:val="24"/>
          <w:szCs w:val="24"/>
          <w:lang w:val="fr-FR"/>
        </w:rPr>
        <w:t>un certain type de comportement est compatible avec les exigences du principe de l’</w:t>
      </w:r>
      <w:r w:rsidRPr="00260D1E">
        <w:rPr>
          <w:rFonts w:ascii="Times New Roman" w:hAnsi="Times New Roman"/>
          <w:i/>
          <w:sz w:val="24"/>
          <w:szCs w:val="24"/>
          <w:lang w:val="fr-FR"/>
        </w:rPr>
        <w:t>ultima ratio</w:t>
      </w:r>
      <w:r w:rsidRPr="003A3218">
        <w:rPr>
          <w:rFonts w:ascii="Times New Roman" w:hAnsi="Times New Roman"/>
          <w:sz w:val="24"/>
          <w:szCs w:val="24"/>
          <w:lang w:val="fr-FR"/>
        </w:rPr>
        <w:t xml:space="preserve"> et avec la condition d’une définition claire des infractions imposée par le principe de la prééminence de la loi. La Cour </w:t>
      </w:r>
      <w:r w:rsidR="00252A12">
        <w:rPr>
          <w:rFonts w:ascii="Times New Roman" w:hAnsi="Times New Roman"/>
          <w:sz w:val="24"/>
          <w:szCs w:val="24"/>
          <w:lang w:val="fr-FR"/>
        </w:rPr>
        <w:t xml:space="preserve">vérifie </w:t>
      </w:r>
      <w:r w:rsidRPr="003A3218">
        <w:rPr>
          <w:rFonts w:ascii="Times New Roman" w:hAnsi="Times New Roman"/>
          <w:sz w:val="24"/>
          <w:szCs w:val="24"/>
          <w:lang w:val="fr-FR"/>
        </w:rPr>
        <w:t>cette question au cas par cas, mais a tendance à accorder un poids considérable à sa propre jurisprudence dans des affaires similaires. Par exemple, dans une affaire concernant la constitutionnalité d</w:t>
      </w:r>
      <w:r w:rsidR="00F76A70">
        <w:rPr>
          <w:rFonts w:ascii="Times New Roman" w:hAnsi="Times New Roman"/>
          <w:sz w:val="24"/>
          <w:szCs w:val="24"/>
          <w:lang w:val="fr-FR"/>
        </w:rPr>
        <w:t xml:space="preserve">e l’infraction </w:t>
      </w:r>
      <w:r w:rsidRPr="003A3218">
        <w:rPr>
          <w:rFonts w:ascii="Times New Roman" w:hAnsi="Times New Roman"/>
          <w:sz w:val="24"/>
          <w:szCs w:val="24"/>
          <w:lang w:val="fr-FR"/>
        </w:rPr>
        <w:t>de proxénétisme, la Cour a conclu que la disposition légale incriminant le proxénétisme était inconstitutionnelle. Dans une autre affaire concernant la constitutionnalité d</w:t>
      </w:r>
      <w:r w:rsidR="00F76A70">
        <w:rPr>
          <w:rFonts w:ascii="Times New Roman" w:hAnsi="Times New Roman"/>
          <w:sz w:val="24"/>
          <w:szCs w:val="24"/>
          <w:lang w:val="fr-FR"/>
        </w:rPr>
        <w:t xml:space="preserve">e l’infraction </w:t>
      </w:r>
      <w:r w:rsidRPr="003A3218">
        <w:rPr>
          <w:rFonts w:ascii="Times New Roman" w:hAnsi="Times New Roman"/>
          <w:sz w:val="24"/>
          <w:szCs w:val="24"/>
          <w:lang w:val="fr-FR"/>
        </w:rPr>
        <w:t>de maltraitance des animaux, la Cour a conclu que la disposition définissant la maltraitance des animaux était inconstitutionnelle. Plus récemment, la Cour est revenue sur sa décision et s’est abstenue de la déclarer inconstitutionnelle.</w:t>
      </w:r>
    </w:p>
    <w:p w14:paraId="0D94ACAC" w14:textId="77777777" w:rsidR="008F2AB7" w:rsidRPr="003A3218" w:rsidRDefault="008F2AB7" w:rsidP="00C10554">
      <w:pPr>
        <w:spacing w:line="276" w:lineRule="auto"/>
        <w:jc w:val="both"/>
        <w:rPr>
          <w:rFonts w:ascii="Times New Roman" w:hAnsi="Times New Roman"/>
          <w:sz w:val="24"/>
          <w:szCs w:val="24"/>
          <w:lang w:val="fr-FR"/>
        </w:rPr>
      </w:pPr>
      <w:r w:rsidRPr="00E43733">
        <w:rPr>
          <w:rFonts w:ascii="Times New Roman" w:hAnsi="Times New Roman"/>
          <w:b/>
          <w:sz w:val="24"/>
          <w:szCs w:val="24"/>
          <w:lang w:val="fr-FR"/>
        </w:rPr>
        <w:t>9</w:t>
      </w:r>
      <w:r w:rsidR="00E43733" w:rsidRPr="00E43733">
        <w:rPr>
          <w:rFonts w:ascii="Times New Roman" w:hAnsi="Times New Roman"/>
          <w:b/>
          <w:sz w:val="24"/>
          <w:szCs w:val="24"/>
          <w:lang w:val="fr-FR"/>
        </w:rPr>
        <w:t>.</w:t>
      </w:r>
      <w:r w:rsidRPr="003A3218">
        <w:rPr>
          <w:rFonts w:ascii="Times New Roman" w:hAnsi="Times New Roman"/>
          <w:sz w:val="24"/>
          <w:szCs w:val="24"/>
          <w:lang w:val="fr-FR"/>
        </w:rPr>
        <w:t xml:space="preserve"> En ce qui concerne la déférence pour des raisons de sécurité nationale, l’approche générale est que cette question ne devrait pas constituer un obstacle pour les tribunaux qui demandent des documents ou des informations nécessaires à la résolution d’une affaire. </w:t>
      </w:r>
    </w:p>
    <w:p w14:paraId="1BB0FEE1"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L’une des décisions les plus récentes </w:t>
      </w:r>
      <w:r w:rsidR="00AD0A7C">
        <w:rPr>
          <w:rFonts w:ascii="Times New Roman" w:hAnsi="Times New Roman"/>
          <w:sz w:val="24"/>
          <w:szCs w:val="24"/>
          <w:lang w:val="fr-FR"/>
        </w:rPr>
        <w:t>rendue par</w:t>
      </w:r>
      <w:r w:rsidRPr="003A3218">
        <w:rPr>
          <w:rFonts w:ascii="Times New Roman" w:hAnsi="Times New Roman"/>
          <w:sz w:val="24"/>
          <w:szCs w:val="24"/>
          <w:lang w:val="fr-FR"/>
        </w:rPr>
        <w:t xml:space="preserve"> la Cour constitutionnelle slovaque dans ce domaine ne montre aucun signe de </w:t>
      </w:r>
      <w:r w:rsidR="00AD0A7C">
        <w:rPr>
          <w:rFonts w:ascii="Times New Roman" w:hAnsi="Times New Roman"/>
          <w:sz w:val="24"/>
          <w:szCs w:val="24"/>
          <w:lang w:val="fr-FR"/>
        </w:rPr>
        <w:t>déférence</w:t>
      </w:r>
      <w:r w:rsidRPr="003A3218">
        <w:rPr>
          <w:rFonts w:ascii="Times New Roman" w:hAnsi="Times New Roman"/>
          <w:sz w:val="24"/>
          <w:szCs w:val="24"/>
          <w:lang w:val="fr-FR"/>
        </w:rPr>
        <w:t xml:space="preserve">. La Cour slovaque a invalidé trois dispositions de la loi sur l’asile. Selon les dispositions légales contestées, les demandes d’octroi ou d’extension d’une protection supplémentaire devaient être rejetées si les services secrets informaient le ministère de l’intérieur, qui était compétent pour les </w:t>
      </w:r>
      <w:r w:rsidR="00AD0A7C">
        <w:rPr>
          <w:rFonts w:ascii="Times New Roman" w:hAnsi="Times New Roman"/>
          <w:sz w:val="24"/>
          <w:szCs w:val="24"/>
          <w:lang w:val="fr-FR"/>
        </w:rPr>
        <w:t>solutionner</w:t>
      </w:r>
      <w:r w:rsidRPr="003A3218">
        <w:rPr>
          <w:rFonts w:ascii="Times New Roman" w:hAnsi="Times New Roman"/>
          <w:sz w:val="24"/>
          <w:szCs w:val="24"/>
          <w:lang w:val="fr-FR"/>
        </w:rPr>
        <w:t xml:space="preserve">, que le demandeur représentait un danger pour la sécurité nationale. Les raisons sur lesquelles se fondait cette conclusion étaient tenues secrètes pour le demandeur et l’employé </w:t>
      </w:r>
      <w:r w:rsidR="00AD0A7C" w:rsidRPr="003A3218">
        <w:rPr>
          <w:rFonts w:ascii="Times New Roman" w:hAnsi="Times New Roman"/>
          <w:sz w:val="24"/>
          <w:szCs w:val="24"/>
          <w:lang w:val="fr-FR"/>
        </w:rPr>
        <w:t xml:space="preserve">responsable </w:t>
      </w:r>
      <w:r w:rsidRPr="003A3218">
        <w:rPr>
          <w:rFonts w:ascii="Times New Roman" w:hAnsi="Times New Roman"/>
          <w:sz w:val="24"/>
          <w:szCs w:val="24"/>
          <w:lang w:val="fr-FR"/>
        </w:rPr>
        <w:t>du ministère.</w:t>
      </w:r>
    </w:p>
    <w:p w14:paraId="702EC0A6" w14:textId="77777777" w:rsidR="008F2AB7" w:rsidRPr="003A3218" w:rsidRDefault="008F2AB7" w:rsidP="00C10554">
      <w:pPr>
        <w:spacing w:line="276" w:lineRule="auto"/>
        <w:jc w:val="both"/>
        <w:rPr>
          <w:rFonts w:ascii="Times New Roman" w:hAnsi="Times New Roman"/>
          <w:sz w:val="24"/>
          <w:szCs w:val="24"/>
          <w:lang w:val="fr-FR"/>
        </w:rPr>
      </w:pPr>
      <w:r w:rsidRPr="003A3218">
        <w:rPr>
          <w:rFonts w:ascii="Times New Roman" w:hAnsi="Times New Roman"/>
          <w:sz w:val="24"/>
          <w:szCs w:val="24"/>
          <w:lang w:val="fr-FR"/>
        </w:rPr>
        <w:lastRenderedPageBreak/>
        <w:t>Dans la même clé, la Cour constitutionnelle de la République de Moldavie a noté dans une affaire que les intérêts fondés sur la sécurité nationale n’ont pas un poids absolu. Elle a déclaré inconstitutionnelles les dispositions de la loi sur le régime des étrangers, qui interdisaient la notification aux étrangers des motifs de leur déclaration en tant que personnes indésirables.</w:t>
      </w:r>
    </w:p>
    <w:p w14:paraId="4CA18203" w14:textId="77777777" w:rsidR="008F2AB7" w:rsidRPr="003A3218" w:rsidRDefault="008F2AB7" w:rsidP="00C10554">
      <w:pPr>
        <w:spacing w:line="276" w:lineRule="auto"/>
        <w:jc w:val="both"/>
        <w:rPr>
          <w:rStyle w:val="fontstyle01"/>
          <w:rFonts w:ascii="Times New Roman" w:hAnsi="Times New Roman"/>
          <w:lang w:val="fr-FR"/>
        </w:rPr>
      </w:pPr>
      <w:r w:rsidRPr="00350A97">
        <w:rPr>
          <w:rFonts w:ascii="Times New Roman" w:hAnsi="Times New Roman"/>
          <w:color w:val="000000"/>
          <w:sz w:val="24"/>
          <w:szCs w:val="24"/>
          <w:lang w:val="fr-FR"/>
        </w:rPr>
        <w:t>Selon</w:t>
      </w:r>
      <w:r w:rsidRPr="003A3218">
        <w:rPr>
          <w:rFonts w:ascii="Times New Roman" w:hAnsi="Times New Roman"/>
          <w:sz w:val="24"/>
          <w:szCs w:val="24"/>
          <w:lang w:val="fr-FR"/>
        </w:rPr>
        <w:t xml:space="preserve"> la Cour constitutionnelle de Turquie, un large pouvoir discrétionnaire est accordé aux limitations visant à protéger la sécurité nationale et à assurer l’ordre public. Toutefois, la Cour a estimé que ce pouvoir discrétionnaire n’était pas illimité et a examiné attentivement si les garanties constitutionnelles étaient respectées</w:t>
      </w:r>
      <w:r w:rsidRPr="003A3218">
        <w:rPr>
          <w:rFonts w:ascii="Times New Roman" w:hAnsi="Times New Roman"/>
          <w:color w:val="000000"/>
          <w:sz w:val="24"/>
          <w:szCs w:val="24"/>
          <w:lang w:val="fr-FR"/>
        </w:rPr>
        <w:t>.</w:t>
      </w:r>
    </w:p>
    <w:p w14:paraId="6B058188" w14:textId="77777777" w:rsidR="008F2AB7" w:rsidRPr="003A3218" w:rsidRDefault="008F2AB7" w:rsidP="00C10554">
      <w:pPr>
        <w:spacing w:line="276" w:lineRule="auto"/>
        <w:jc w:val="both"/>
        <w:rPr>
          <w:rStyle w:val="fontstyle01"/>
          <w:lang w:val="fr-FR"/>
        </w:rPr>
      </w:pPr>
      <w:r w:rsidRPr="003A3218">
        <w:rPr>
          <w:rStyle w:val="fontstyle01"/>
          <w:b/>
          <w:bCs/>
          <w:lang w:val="fr-FR"/>
        </w:rPr>
        <w:t>10.</w:t>
      </w:r>
      <w:r w:rsidRPr="003A3218">
        <w:rPr>
          <w:rStyle w:val="fontstyle01"/>
          <w:lang w:val="fr-FR"/>
        </w:rPr>
        <w:t xml:space="preserve"> La question suivante concerne la passivité du gouvernement dans l’introduction de réformes visant à assurer le respect des droits fondamentaux. Par exemple, la Cour constitutionnelle tchèque est intervenue dans une affaire où le législateur avait fait preuve d’une inactivité prolongée. L’affaire concernait une restriction des droits fondamentaux des propriétaires, les politiciens tchèques n’ayant pas réussi à résoudre définitivement la question des loyers réglementés, </w:t>
      </w:r>
      <w:r w:rsidR="00350A97" w:rsidRPr="00350A97">
        <w:rPr>
          <w:rStyle w:val="fontstyle01"/>
          <w:lang w:val="fr-FR"/>
        </w:rPr>
        <w:t>réminiscence</w:t>
      </w:r>
      <w:r w:rsidR="00350A97">
        <w:rPr>
          <w:rStyle w:val="fontstyle01"/>
          <w:lang w:val="fr-FR"/>
        </w:rPr>
        <w:t xml:space="preserve"> </w:t>
      </w:r>
      <w:r w:rsidRPr="003A3218">
        <w:rPr>
          <w:rStyle w:val="fontstyle01"/>
          <w:lang w:val="fr-FR"/>
        </w:rPr>
        <w:t>du communisme, pendant plusieurs décennies. Bien que la Cour constitutionnelle ait longtemps fait preuve d</w:t>
      </w:r>
      <w:r w:rsidR="00350A97">
        <w:rPr>
          <w:rStyle w:val="fontstyle01"/>
          <w:lang w:val="fr-FR"/>
        </w:rPr>
        <w:t>’une approche retenue</w:t>
      </w:r>
      <w:r w:rsidRPr="003A3218">
        <w:rPr>
          <w:rStyle w:val="fontstyle01"/>
          <w:lang w:val="fr-FR"/>
        </w:rPr>
        <w:t xml:space="preserve">, elle a jugé inconstitutionnelle l’inaction prolongée du Parlement tchèque qui n’a pas adopté de réglementation légale spéciale établissant quand le </w:t>
      </w:r>
      <w:r w:rsidR="009D1321">
        <w:rPr>
          <w:rStyle w:val="fontstyle01"/>
          <w:lang w:val="fr-FR"/>
        </w:rPr>
        <w:t>locataire</w:t>
      </w:r>
      <w:r w:rsidRPr="003A3218">
        <w:rPr>
          <w:rStyle w:val="fontstyle01"/>
          <w:lang w:val="fr-FR"/>
        </w:rPr>
        <w:t xml:space="preserve"> est autorisé à augmenter unilatéralement le prix du loyer et les charges pour les services fournis dans le cadre de l’utilisation de l’appartement et à modifier d’autres conditions du contrat de location.  </w:t>
      </w:r>
    </w:p>
    <w:p w14:paraId="4D473372" w14:textId="77777777" w:rsidR="008F2AB7" w:rsidRPr="003A3218" w:rsidRDefault="008F2AB7" w:rsidP="00C10554">
      <w:pPr>
        <w:spacing w:line="276" w:lineRule="auto"/>
        <w:jc w:val="both"/>
        <w:rPr>
          <w:rStyle w:val="fontstyle01"/>
          <w:lang w:val="fr-FR"/>
        </w:rPr>
      </w:pPr>
      <w:r w:rsidRPr="003A3218">
        <w:rPr>
          <w:rStyle w:val="fontstyle01"/>
          <w:lang w:val="fr-FR"/>
        </w:rPr>
        <w:t>La Cour constitutionnelle slovène est considérée comme extrêmement activiste, car elle détermine fréquemment la manière dont ses décisions doivent être mises en œuvre. Ainsi, la Cour résout souvent provisoirement une question qui resterait autrement non résolue après qu’une décision ait été rendue, afin de protéger des valeurs constitutionnelles importantes, en particulier lorsque les droits de l’homme et les libertés fondamentales risquent d’être affectés. Par exemple, lorsqu’elle a jugé inconstitutionnelle la règle juridique autorisant uniquement le mariage de personnes de sexe différent, la Cour a immédiatement autorisé, en déterminant les modalités d’application de sa décision, le mariage de personnes sans distinction de sexe, en notant que « jusqu’à ce qu’il soit remédié à la situation d’inconstitutionnalité, le mariage doit être considéré comme l’union de deux personnes ».</w:t>
      </w:r>
    </w:p>
    <w:p w14:paraId="3F8D6BC3" w14:textId="77777777" w:rsidR="008F2AB7" w:rsidRPr="003A3218" w:rsidRDefault="008F2AB7" w:rsidP="00C10554">
      <w:pPr>
        <w:spacing w:line="276" w:lineRule="auto"/>
        <w:jc w:val="both"/>
        <w:rPr>
          <w:rFonts w:ascii="Times New Roman" w:hAnsi="Times New Roman"/>
          <w:color w:val="000000"/>
          <w:sz w:val="24"/>
          <w:szCs w:val="24"/>
          <w:lang w:val="fr-FR"/>
        </w:rPr>
      </w:pPr>
      <w:r w:rsidRPr="003A3218">
        <w:rPr>
          <w:rStyle w:val="fontstyle01"/>
          <w:lang w:val="fr-FR"/>
        </w:rPr>
        <w:t xml:space="preserve">Pour la Cour lettone, ces cas sont exceptionnels. Un exemple est une affaire concernant les droits de succession à payer sur l’héritage reçu d’un partenaire de même sexe. La Cour lettone a noté que le Parlement n’a pas encore développé un système de reconnaissance légale et de protection des familles </w:t>
      </w:r>
      <w:r w:rsidR="00197D97" w:rsidRPr="00197D97">
        <w:rPr>
          <w:rStyle w:val="fontstyle01"/>
          <w:lang w:val="fr-FR"/>
        </w:rPr>
        <w:t>composées de partenaires de même sexe</w:t>
      </w:r>
      <w:r w:rsidRPr="003A3218">
        <w:rPr>
          <w:rStyle w:val="fontstyle01"/>
          <w:lang w:val="fr-FR"/>
        </w:rPr>
        <w:t>. Pour cette raison, la Cour lettone a souligné qu’à l’époque, l’État était « juridiquement aveugle » aux familles de même sexe et a jugé que la disposition contestée était donc inconstitutionnelle</w:t>
      </w:r>
      <w:r w:rsidRPr="003A3218">
        <w:rPr>
          <w:rFonts w:ascii="Times New Roman" w:hAnsi="Times New Roman"/>
          <w:color w:val="000000"/>
          <w:sz w:val="24"/>
          <w:szCs w:val="24"/>
          <w:lang w:val="fr-FR"/>
        </w:rPr>
        <w:t>.</w:t>
      </w:r>
    </w:p>
    <w:p w14:paraId="2F6BFF64" w14:textId="77777777" w:rsidR="008F2AB7" w:rsidRPr="003A3218" w:rsidRDefault="008F2AB7" w:rsidP="00C565EA">
      <w:pPr>
        <w:spacing w:line="276" w:lineRule="auto"/>
        <w:jc w:val="both"/>
        <w:rPr>
          <w:rFonts w:ascii="Times New Roman" w:hAnsi="Times New Roman"/>
          <w:b/>
          <w:bCs/>
          <w:color w:val="000000"/>
          <w:sz w:val="24"/>
          <w:szCs w:val="24"/>
          <w:lang w:val="fr-FR"/>
        </w:rPr>
      </w:pPr>
      <w:r w:rsidRPr="003A3218">
        <w:rPr>
          <w:rFonts w:ascii="Times New Roman" w:hAnsi="Times New Roman"/>
          <w:b/>
          <w:bCs/>
          <w:color w:val="000000"/>
          <w:sz w:val="24"/>
          <w:szCs w:val="24"/>
          <w:lang w:val="fr-FR"/>
        </w:rPr>
        <w:t>II. Décideur</w:t>
      </w:r>
    </w:p>
    <w:p w14:paraId="5D317A37"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b/>
          <w:bCs/>
          <w:color w:val="000000"/>
          <w:sz w:val="24"/>
          <w:szCs w:val="24"/>
          <w:lang w:val="fr-FR"/>
        </w:rPr>
        <w:t>11.</w:t>
      </w:r>
      <w:r w:rsidRPr="003A3218">
        <w:rPr>
          <w:rFonts w:ascii="Times New Roman" w:hAnsi="Times New Roman"/>
          <w:color w:val="000000"/>
          <w:sz w:val="24"/>
          <w:szCs w:val="24"/>
          <w:lang w:val="fr-FR"/>
        </w:rPr>
        <w:t xml:space="preserve"> En ce qui concerne la plus grande déférence à l’égard d’un acte du Parlement qu’à l’égard d’une décision de l’exécutif, l’approche de la plupart des </w:t>
      </w:r>
      <w:r w:rsidR="00197D97">
        <w:rPr>
          <w:rFonts w:ascii="Times New Roman" w:hAnsi="Times New Roman"/>
          <w:color w:val="000000"/>
          <w:sz w:val="24"/>
          <w:szCs w:val="24"/>
          <w:lang w:val="fr-FR"/>
        </w:rPr>
        <w:t>cours</w:t>
      </w:r>
      <w:r w:rsidRPr="003A3218">
        <w:rPr>
          <w:rFonts w:ascii="Times New Roman" w:hAnsi="Times New Roman"/>
          <w:color w:val="000000"/>
          <w:sz w:val="24"/>
          <w:szCs w:val="24"/>
          <w:lang w:val="fr-FR"/>
        </w:rPr>
        <w:t xml:space="preserve"> qui ont répondu peut être résumée dans la formulation de la Cour constitutionnelle espagnole : il n’est pas correct d’établir une échelle de déférence en fonction des autorités publiques. Selon la Cour constitutionnelle de Roumanie, lorsqu’elle effectue le contrôle de constitutionnalité, elle ne fait aucune distinction fondée sur l’éventuel niveau différent de responsabilité démocratique du Parlement ou du </w:t>
      </w:r>
      <w:r w:rsidR="00197D97" w:rsidRPr="003A3218">
        <w:rPr>
          <w:rFonts w:ascii="Times New Roman" w:hAnsi="Times New Roman"/>
          <w:color w:val="000000"/>
          <w:sz w:val="24"/>
          <w:szCs w:val="24"/>
          <w:lang w:val="fr-FR"/>
        </w:rPr>
        <w:lastRenderedPageBreak/>
        <w:t>Gouvernement</w:t>
      </w:r>
      <w:r w:rsidRPr="003A3218">
        <w:rPr>
          <w:rFonts w:ascii="Times New Roman" w:hAnsi="Times New Roman"/>
          <w:color w:val="000000"/>
          <w:sz w:val="24"/>
          <w:szCs w:val="24"/>
          <w:lang w:val="fr-FR"/>
        </w:rPr>
        <w:t>. La Cour examine l’acte soumis au contrôle en tenant compte de sa nature législative, sans que le niveau de contrôle varie en fonction de l’émetteur de l’acte ou d’un aspect extérieur à son contenu normatif.</w:t>
      </w:r>
    </w:p>
    <w:p w14:paraId="4E2A767B" w14:textId="77777777" w:rsidR="008F2AB7" w:rsidRPr="003A3218" w:rsidRDefault="00106676" w:rsidP="00022FA9">
      <w:pPr>
        <w:spacing w:line="276" w:lineRule="auto"/>
        <w:jc w:val="both"/>
        <w:rPr>
          <w:rFonts w:ascii="Times New Roman" w:hAnsi="Times New Roman"/>
          <w:color w:val="000000"/>
          <w:sz w:val="24"/>
          <w:szCs w:val="24"/>
          <w:lang w:val="fr-FR"/>
        </w:rPr>
      </w:pPr>
      <w:r w:rsidRPr="00106676">
        <w:rPr>
          <w:rFonts w:ascii="Times New Roman" w:hAnsi="Times New Roman"/>
          <w:b/>
          <w:color w:val="000000"/>
          <w:sz w:val="24"/>
          <w:szCs w:val="24"/>
          <w:lang w:val="fr-FR"/>
        </w:rPr>
        <w:t xml:space="preserve">12. </w:t>
      </w:r>
      <w:r w:rsidR="008F2AB7" w:rsidRPr="003A3218">
        <w:rPr>
          <w:rFonts w:ascii="Times New Roman" w:hAnsi="Times New Roman"/>
          <w:color w:val="000000"/>
          <w:sz w:val="24"/>
          <w:szCs w:val="24"/>
          <w:lang w:val="fr-FR"/>
        </w:rPr>
        <w:t>En ce qui concerne le poids que les tribunaux attachent au processus législatif, la Cour constitutionnelle fédérale allemande examine les faits sur lesquels le législateur a fondé sa décision à la lumière de leur fondement méthodologique et de leur plausibilité. La Cour accepte les faits dont dispose le législateur et l’expérience passée comme base de contrôle des lois.</w:t>
      </w:r>
    </w:p>
    <w:p w14:paraId="4E10391B"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Cour constitutionnelle espagnole s’est montrée prudente dans l’utilisation du contexte parlementaire de l’adoption des normes, en particulier </w:t>
      </w:r>
      <w:r w:rsidR="00106676">
        <w:rPr>
          <w:rFonts w:ascii="Times New Roman" w:hAnsi="Times New Roman"/>
          <w:color w:val="000000"/>
          <w:sz w:val="24"/>
          <w:szCs w:val="24"/>
          <w:lang w:val="fr-FR"/>
        </w:rPr>
        <w:t xml:space="preserve">de </w:t>
      </w:r>
      <w:r w:rsidRPr="003A3218">
        <w:rPr>
          <w:rFonts w:ascii="Times New Roman" w:hAnsi="Times New Roman"/>
          <w:color w:val="000000"/>
          <w:sz w:val="24"/>
          <w:szCs w:val="24"/>
          <w:lang w:val="fr-FR"/>
        </w:rPr>
        <w:t xml:space="preserve">la Constitution. </w:t>
      </w:r>
    </w:p>
    <w:p w14:paraId="5F6B9447"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La Cour suprême d’Irlande peut étudier le processus législatif pour décider de la résolution d’une affaire. En particulier, lorsqu’il lui est demandé d’examiner une disposition législative, elle étudie le contexte de l’adoption pour comprendre l’intention du législat</w:t>
      </w:r>
      <w:r w:rsidR="00106676">
        <w:rPr>
          <w:rFonts w:ascii="Times New Roman" w:hAnsi="Times New Roman"/>
          <w:color w:val="000000"/>
          <w:sz w:val="24"/>
          <w:szCs w:val="24"/>
          <w:lang w:val="fr-FR"/>
        </w:rPr>
        <w:t>if</w:t>
      </w:r>
      <w:r w:rsidRPr="003A3218">
        <w:rPr>
          <w:rFonts w:ascii="Times New Roman" w:hAnsi="Times New Roman"/>
          <w:color w:val="000000"/>
          <w:sz w:val="24"/>
          <w:szCs w:val="24"/>
          <w:lang w:val="fr-FR"/>
        </w:rPr>
        <w:t xml:space="preserve">. </w:t>
      </w:r>
    </w:p>
    <w:p w14:paraId="3D244EF8"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En Belgique, les documents préparatoires du Parlement figurent dans les décisions de la Cour comme point de départ pour apprécier l’existence d’un but légitime et la justification de certaines dispositions. L’avis de la section législative du Conseil d’État sur les projets de loi est également souvent sollicité et la Cour accorde une attention particulière à cet avis et à la réaction ou à l’absence de réaction du législateur à cet avis. Il existe un précédent bien connu dans la jurisprudence de la Cour en Belgique où l’argument du processus législatif a été pris en compte. C’est le cas de l’ancienne distinction, dans le droit du travail belge, entre « travailleurs » et « employés ». Interrogée sur cette inégalité </w:t>
      </w:r>
      <w:r w:rsidR="00275E0D">
        <w:rPr>
          <w:rFonts w:ascii="Times New Roman" w:hAnsi="Times New Roman"/>
          <w:color w:val="000000"/>
          <w:sz w:val="24"/>
          <w:szCs w:val="24"/>
          <w:lang w:val="fr-FR"/>
        </w:rPr>
        <w:t>assez</w:t>
      </w:r>
      <w:r w:rsidRPr="003A3218">
        <w:rPr>
          <w:rFonts w:ascii="Times New Roman" w:hAnsi="Times New Roman"/>
          <w:color w:val="000000"/>
          <w:sz w:val="24"/>
          <w:szCs w:val="24"/>
          <w:lang w:val="fr-FR"/>
        </w:rPr>
        <w:t xml:space="preserve"> claire, la Cour a accepté le poids du processus législatif pour valider la législation. Cependant, dix ans après cet arrêt, lorsqu’on lui a posé la même question, la Cour a revu sa solution et a donné du poids à l’égalité, déclarant la loi inconstitutionnelle.</w:t>
      </w:r>
    </w:p>
    <w:p w14:paraId="34F65E81"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En Italie, les débats parlementaires </w:t>
      </w:r>
      <w:r w:rsidR="00275E0D">
        <w:rPr>
          <w:rFonts w:ascii="Times New Roman" w:hAnsi="Times New Roman"/>
          <w:color w:val="000000"/>
          <w:sz w:val="24"/>
          <w:szCs w:val="24"/>
          <w:lang w:val="fr-FR"/>
        </w:rPr>
        <w:t>n’</w:t>
      </w:r>
      <w:r w:rsidR="00275E0D" w:rsidRPr="00275E0D">
        <w:rPr>
          <w:rFonts w:ascii="Times New Roman" w:hAnsi="Times New Roman"/>
          <w:color w:val="000000"/>
          <w:sz w:val="24"/>
          <w:szCs w:val="24"/>
          <w:lang w:val="fr-FR"/>
        </w:rPr>
        <w:t xml:space="preserve">ont pas de pertinence précise </w:t>
      </w:r>
      <w:r w:rsidRPr="003A3218">
        <w:rPr>
          <w:rFonts w:ascii="Times New Roman" w:hAnsi="Times New Roman"/>
          <w:color w:val="000000"/>
          <w:sz w:val="24"/>
          <w:szCs w:val="24"/>
          <w:lang w:val="fr-FR"/>
        </w:rPr>
        <w:t xml:space="preserve">pour examiner la compatibilité de la législation avec les droits de l’homme et parce que, dans le système juridique italien, l’approbation d’une loi n’est pas accompagnée d’une motivation expresse. Cependant, le travail préparatoire est d’une valeur incontestable pour l’interprétation du cadre juridique. En effet, il est également possible de déduire la raison d’être et le </w:t>
      </w:r>
      <w:r w:rsidR="00275E0D">
        <w:rPr>
          <w:rFonts w:ascii="Times New Roman" w:hAnsi="Times New Roman"/>
          <w:color w:val="000000"/>
          <w:sz w:val="24"/>
          <w:szCs w:val="24"/>
          <w:lang w:val="fr-FR"/>
        </w:rPr>
        <w:t xml:space="preserve">but </w:t>
      </w:r>
      <w:r w:rsidRPr="003A3218">
        <w:rPr>
          <w:rFonts w:ascii="Times New Roman" w:hAnsi="Times New Roman"/>
          <w:color w:val="000000"/>
          <w:sz w:val="24"/>
          <w:szCs w:val="24"/>
          <w:lang w:val="fr-FR"/>
        </w:rPr>
        <w:t>de la loi du débat qui a précédé son adoption. Cette conclusion s’applique aux lois traitant de cas spécifiques et aux lois interprétatives.</w:t>
      </w:r>
    </w:p>
    <w:p w14:paraId="6A944F9B"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Cour constitutionnelle bulgare examine comme preuve, dans nombre de ses décisions, les </w:t>
      </w:r>
      <w:r w:rsidR="00275E0D" w:rsidRPr="00275E0D">
        <w:rPr>
          <w:rFonts w:ascii="Times New Roman" w:hAnsi="Times New Roman"/>
          <w:color w:val="000000"/>
          <w:sz w:val="24"/>
          <w:szCs w:val="24"/>
          <w:lang w:val="fr-FR"/>
        </w:rPr>
        <w:t>sténogramme</w:t>
      </w:r>
      <w:r w:rsidR="00275E0D">
        <w:rPr>
          <w:rFonts w:ascii="Times New Roman" w:hAnsi="Times New Roman"/>
          <w:color w:val="000000"/>
          <w:sz w:val="24"/>
          <w:szCs w:val="24"/>
          <w:lang w:val="fr-FR"/>
        </w:rPr>
        <w:t>s</w:t>
      </w:r>
      <w:r w:rsidR="00275E0D" w:rsidRPr="00275E0D">
        <w:rPr>
          <w:rFonts w:ascii="Times New Roman" w:hAnsi="Times New Roman"/>
          <w:color w:val="000000"/>
          <w:sz w:val="24"/>
          <w:szCs w:val="24"/>
          <w:lang w:val="fr-FR"/>
        </w:rPr>
        <w:t xml:space="preserve"> </w:t>
      </w:r>
      <w:r w:rsidRPr="003A3218">
        <w:rPr>
          <w:rFonts w:ascii="Times New Roman" w:hAnsi="Times New Roman"/>
          <w:color w:val="000000"/>
          <w:sz w:val="24"/>
          <w:szCs w:val="24"/>
          <w:lang w:val="fr-FR"/>
        </w:rPr>
        <w:t>des débats parlementaires en séance plénière ou en commission, les rapports des commissions parlementaires ou les mémoires explicatifs et analyse la genèse de la législation.</w:t>
      </w:r>
    </w:p>
    <w:p w14:paraId="56BED7DB"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color w:val="000000"/>
          <w:sz w:val="24"/>
          <w:szCs w:val="24"/>
          <w:lang w:val="fr-FR"/>
        </w:rPr>
        <w:t xml:space="preserve">Selon la Cour constitutionnelle de Lituanie, l’analyse du processus législatif peut faire et fait partie de l’examen </w:t>
      </w:r>
      <w:r w:rsidR="00275E0D">
        <w:rPr>
          <w:rFonts w:ascii="Times New Roman" w:hAnsi="Times New Roman"/>
          <w:color w:val="000000"/>
          <w:sz w:val="24"/>
          <w:szCs w:val="24"/>
          <w:lang w:val="fr-FR"/>
        </w:rPr>
        <w:t xml:space="preserve">en vue de constater </w:t>
      </w:r>
      <w:r w:rsidRPr="003A3218">
        <w:rPr>
          <w:rFonts w:ascii="Times New Roman" w:hAnsi="Times New Roman"/>
          <w:color w:val="000000"/>
          <w:sz w:val="24"/>
          <w:szCs w:val="24"/>
          <w:lang w:val="fr-FR"/>
        </w:rPr>
        <w:t>la constitutionnalité de l’acte législatif contesté. La recherche des intentions du législat</w:t>
      </w:r>
      <w:r w:rsidR="00275E0D">
        <w:rPr>
          <w:rFonts w:ascii="Times New Roman" w:hAnsi="Times New Roman"/>
          <w:color w:val="000000"/>
          <w:sz w:val="24"/>
          <w:szCs w:val="24"/>
          <w:lang w:val="fr-FR"/>
        </w:rPr>
        <w:t xml:space="preserve">if </w:t>
      </w:r>
      <w:r w:rsidRPr="003A3218">
        <w:rPr>
          <w:rFonts w:ascii="Times New Roman" w:hAnsi="Times New Roman"/>
          <w:color w:val="000000"/>
          <w:sz w:val="24"/>
          <w:szCs w:val="24"/>
          <w:lang w:val="fr-FR"/>
        </w:rPr>
        <w:t xml:space="preserve">peut également contribuer à l’identification d’une solution, notamment dans le cas du test du but légitime, applicable dans le cadre du test « classique » </w:t>
      </w:r>
      <w:r w:rsidR="00275E0D" w:rsidRPr="003A3218">
        <w:rPr>
          <w:rFonts w:ascii="Times New Roman" w:hAnsi="Times New Roman"/>
          <w:color w:val="000000"/>
          <w:sz w:val="24"/>
          <w:szCs w:val="24"/>
          <w:lang w:val="fr-FR"/>
        </w:rPr>
        <w:t>de</w:t>
      </w:r>
      <w:r w:rsidR="00275E0D">
        <w:rPr>
          <w:rFonts w:ascii="Times New Roman" w:hAnsi="Times New Roman"/>
          <w:color w:val="000000"/>
          <w:sz w:val="24"/>
          <w:szCs w:val="24"/>
          <w:lang w:val="fr-FR"/>
        </w:rPr>
        <w:t xml:space="preserve"> la </w:t>
      </w:r>
      <w:r w:rsidR="00275E0D" w:rsidRPr="003A3218">
        <w:rPr>
          <w:rFonts w:ascii="Times New Roman" w:hAnsi="Times New Roman"/>
          <w:color w:val="000000"/>
          <w:sz w:val="24"/>
          <w:szCs w:val="24"/>
          <w:lang w:val="fr-FR"/>
        </w:rPr>
        <w:t xml:space="preserve">proportionnalité </w:t>
      </w:r>
      <w:r w:rsidRPr="003A3218">
        <w:rPr>
          <w:rFonts w:ascii="Times New Roman" w:hAnsi="Times New Roman"/>
          <w:color w:val="000000"/>
          <w:sz w:val="24"/>
          <w:szCs w:val="24"/>
          <w:lang w:val="fr-FR"/>
        </w:rPr>
        <w:t>dans les situations de limitation de l’exercice des droits fondamentaux. Par exemple, dans un arrêt sur la constitutionnalité des dispositions de la loi sur la chasse, la Cour constitutionnelle a commencé son analyse par la réglementation légale, en rappelant les origines de la réglementation des relations de chasse et en explorant son histoire, en soulignant son importance</w:t>
      </w:r>
      <w:r w:rsidRPr="003A3218">
        <w:rPr>
          <w:rFonts w:ascii="Times New Roman" w:hAnsi="Times New Roman"/>
          <w:sz w:val="24"/>
          <w:szCs w:val="24"/>
          <w:lang w:val="fr-FR"/>
        </w:rPr>
        <w:t>.</w:t>
      </w:r>
    </w:p>
    <w:p w14:paraId="726BD1A2"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b/>
          <w:bCs/>
          <w:sz w:val="24"/>
          <w:szCs w:val="24"/>
          <w:lang w:val="fr-FR"/>
        </w:rPr>
        <w:lastRenderedPageBreak/>
        <w:t>13.</w:t>
      </w:r>
      <w:r w:rsidRPr="003A3218">
        <w:rPr>
          <w:rFonts w:ascii="Times New Roman" w:hAnsi="Times New Roman"/>
          <w:sz w:val="24"/>
          <w:szCs w:val="24"/>
          <w:lang w:val="fr-FR"/>
        </w:rPr>
        <w:t xml:space="preserve"> En ce qui concerne la vérification de la justification par le décideur ou sa comparaison éventuelle avec la solution que les </w:t>
      </w:r>
      <w:r w:rsidR="005927B4">
        <w:rPr>
          <w:rFonts w:ascii="Times New Roman" w:hAnsi="Times New Roman"/>
          <w:sz w:val="24"/>
          <w:szCs w:val="24"/>
          <w:lang w:val="fr-FR"/>
        </w:rPr>
        <w:t>cours</w:t>
      </w:r>
      <w:r w:rsidRPr="003A3218">
        <w:rPr>
          <w:rFonts w:ascii="Times New Roman" w:hAnsi="Times New Roman"/>
          <w:sz w:val="24"/>
          <w:szCs w:val="24"/>
          <w:lang w:val="fr-FR"/>
        </w:rPr>
        <w:t xml:space="preserve"> adopteraient si</w:t>
      </w:r>
      <w:r w:rsidR="005927B4">
        <w:rPr>
          <w:rFonts w:ascii="Times New Roman" w:hAnsi="Times New Roman"/>
          <w:sz w:val="24"/>
          <w:szCs w:val="24"/>
          <w:lang w:val="fr-FR"/>
        </w:rPr>
        <w:t xml:space="preserve"> elle</w:t>
      </w:r>
      <w:r w:rsidRPr="003A3218">
        <w:rPr>
          <w:rFonts w:ascii="Times New Roman" w:hAnsi="Times New Roman"/>
          <w:sz w:val="24"/>
          <w:szCs w:val="24"/>
          <w:lang w:val="fr-FR"/>
        </w:rPr>
        <w:t>s étaient décideurs, la Cour constitutionnelle fédérale allemande a noté que le législateur n’a pas l’obligation de justifier les lois qu’il adopte. Par principe, la Constitution allemande oblige le législateur à adopter des lois efficaces. Dans ce contexte, la Cour allemande a notamment déclaré dans un arrêt que «</w:t>
      </w:r>
      <w:r w:rsidR="00C627F7">
        <w:rPr>
          <w:rFonts w:ascii="Times New Roman" w:hAnsi="Times New Roman"/>
          <w:sz w:val="24"/>
          <w:szCs w:val="24"/>
          <w:lang w:val="fr-FR"/>
        </w:rPr>
        <w:t xml:space="preserve"> </w:t>
      </w:r>
      <w:r w:rsidR="00C627F7" w:rsidRPr="00C627F7">
        <w:rPr>
          <w:rFonts w:ascii="Times New Roman" w:hAnsi="Times New Roman"/>
          <w:sz w:val="24"/>
          <w:szCs w:val="24"/>
          <w:lang w:val="fr-FR"/>
        </w:rPr>
        <w:t>l</w:t>
      </w:r>
      <w:r w:rsidR="00C627F7">
        <w:rPr>
          <w:rFonts w:ascii="Times New Roman" w:hAnsi="Times New Roman"/>
          <w:sz w:val="24"/>
          <w:szCs w:val="24"/>
          <w:lang w:val="fr-FR"/>
        </w:rPr>
        <w:t>’</w:t>
      </w:r>
      <w:r w:rsidR="00C627F7" w:rsidRPr="00C627F7">
        <w:rPr>
          <w:rFonts w:ascii="Times New Roman" w:hAnsi="Times New Roman"/>
          <w:sz w:val="24"/>
          <w:szCs w:val="24"/>
          <w:lang w:val="fr-FR"/>
        </w:rPr>
        <w:t xml:space="preserve">affirmation selon laquelle la loi </w:t>
      </w:r>
      <w:r w:rsidR="00C627F7">
        <w:rPr>
          <w:rFonts w:ascii="Times New Roman" w:hAnsi="Times New Roman"/>
          <w:sz w:val="24"/>
          <w:szCs w:val="24"/>
          <w:lang w:val="fr-FR"/>
        </w:rPr>
        <w:t xml:space="preserve">contestée </w:t>
      </w:r>
      <w:r w:rsidR="00C627F7" w:rsidRPr="00C627F7">
        <w:rPr>
          <w:rFonts w:ascii="Times New Roman" w:hAnsi="Times New Roman"/>
          <w:sz w:val="24"/>
          <w:szCs w:val="24"/>
          <w:lang w:val="fr-FR"/>
        </w:rPr>
        <w:t>n</w:t>
      </w:r>
      <w:r w:rsidR="00C627F7">
        <w:rPr>
          <w:rFonts w:ascii="Times New Roman" w:hAnsi="Times New Roman"/>
          <w:sz w:val="24"/>
          <w:szCs w:val="24"/>
          <w:lang w:val="fr-FR"/>
        </w:rPr>
        <w:t>’</w:t>
      </w:r>
      <w:r w:rsidR="00C627F7" w:rsidRPr="00C627F7">
        <w:rPr>
          <w:rFonts w:ascii="Times New Roman" w:hAnsi="Times New Roman"/>
          <w:sz w:val="24"/>
          <w:szCs w:val="24"/>
          <w:lang w:val="fr-FR"/>
        </w:rPr>
        <w:t>est pas suffisamment motivée</w:t>
      </w:r>
      <w:r w:rsidRPr="003A3218">
        <w:rPr>
          <w:rFonts w:ascii="Times New Roman" w:hAnsi="Times New Roman"/>
          <w:sz w:val="24"/>
          <w:szCs w:val="24"/>
          <w:lang w:val="fr-FR"/>
        </w:rPr>
        <w:t xml:space="preserve"> n’est pas fondé. Les exigences constitutionnelles ne portent pas sur la motivation d’une loi, mais sur les résultats des procédures législatives. [</w:t>
      </w:r>
      <w:r w:rsidR="00C627F7">
        <w:rPr>
          <w:rFonts w:ascii="Times New Roman" w:hAnsi="Times New Roman"/>
          <w:sz w:val="24"/>
          <w:szCs w:val="24"/>
          <w:lang w:val="fr-FR"/>
        </w:rPr>
        <w:t xml:space="preserve">…] </w:t>
      </w:r>
      <w:r w:rsidRPr="003A3218">
        <w:rPr>
          <w:rFonts w:ascii="Times New Roman" w:hAnsi="Times New Roman"/>
          <w:sz w:val="24"/>
          <w:szCs w:val="24"/>
          <w:lang w:val="fr-FR"/>
        </w:rPr>
        <w:t>La Loi fondamentale ne précise pas quelles parties de la procédure législative doivent être justifiées, quand et comment. La Loi fondamentale laisse place à la négociation et au compromis politique. Ce qui est décisif, c’est que le législateur ne manque pas aux exigences constitutionnelles ».</w:t>
      </w:r>
    </w:p>
    <w:p w14:paraId="2D563554"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Le Conseil constitutionnel français ne substitue pas son appréciation à celle du législateur. Il constate habituellement qu’il ne dispose pas d’un pouvoir général d’appréciation et de </w:t>
      </w:r>
      <w:r w:rsidR="00673898">
        <w:rPr>
          <w:rFonts w:ascii="Times New Roman" w:hAnsi="Times New Roman"/>
          <w:sz w:val="24"/>
          <w:szCs w:val="24"/>
          <w:lang w:val="fr-FR"/>
        </w:rPr>
        <w:t xml:space="preserve">prise de </w:t>
      </w:r>
      <w:r w:rsidRPr="003A3218">
        <w:rPr>
          <w:rFonts w:ascii="Times New Roman" w:hAnsi="Times New Roman"/>
          <w:sz w:val="24"/>
          <w:szCs w:val="24"/>
          <w:lang w:val="fr-FR"/>
        </w:rPr>
        <w:t xml:space="preserve">décision identique à celui du Parlement et qu’il ne peut </w:t>
      </w:r>
      <w:r w:rsidR="00673898">
        <w:rPr>
          <w:rFonts w:ascii="Times New Roman" w:hAnsi="Times New Roman"/>
          <w:sz w:val="24"/>
          <w:szCs w:val="24"/>
          <w:lang w:val="fr-FR"/>
        </w:rPr>
        <w:t>investiguer</w:t>
      </w:r>
      <w:r w:rsidRPr="003A3218">
        <w:rPr>
          <w:rFonts w:ascii="Times New Roman" w:hAnsi="Times New Roman"/>
          <w:sz w:val="24"/>
          <w:szCs w:val="24"/>
          <w:lang w:val="fr-FR"/>
        </w:rPr>
        <w:t xml:space="preserve"> si les objectifs fixés par le législateur auraient pu être atteints par d’autres voies, dès lors que les modalités retenues par la loi ne sont pas manifestement inappropriées au regard de l’objectif poursuivi.</w:t>
      </w:r>
    </w:p>
    <w:p w14:paraId="5F48AC8F"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belge apprécie si un choix particulier du législateur est raisonnablement justifié. Elle conclut à la violation lorsqu’il n’y a pas de rapport raisonnable de proportionnalité entre les objectifs du législateur, les mesures choisies et leurs conséquences. La Cour a également </w:t>
      </w:r>
      <w:r w:rsidR="00673898">
        <w:rPr>
          <w:rFonts w:ascii="Times New Roman" w:hAnsi="Times New Roman"/>
          <w:sz w:val="24"/>
          <w:szCs w:val="24"/>
          <w:lang w:val="fr-FR"/>
        </w:rPr>
        <w:t>mentionné</w:t>
      </w:r>
      <w:r w:rsidRPr="003A3218">
        <w:rPr>
          <w:rFonts w:ascii="Times New Roman" w:hAnsi="Times New Roman"/>
          <w:sz w:val="24"/>
          <w:szCs w:val="24"/>
          <w:lang w:val="fr-FR"/>
        </w:rPr>
        <w:t xml:space="preserve"> explicitement dans plusieurs affaires que, bien que plusieurs options constitutionnelles soient disponibles, elle n’a pas le pouvoir de choisir entre elles.</w:t>
      </w:r>
    </w:p>
    <w:p w14:paraId="0210CA03"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En Slovénie, seuls les cas d’application rétroactive de dispositions légales exigent du législateur qu’il justifie son choix d’une réglementation particulière, même au cours de la procédure législative. Selon la jurisprudence constitutionnelle, l’effet rétroactif ne peut être justifié que par un intérêt public particulier qui justifie l’effet rétroactif de la réglementation, sans lequel l’objectif visé par la réglementation ne pourrait être atteint. Cependant, étant donné qu’un tel intérêt public justifie l’exception à l’interdiction constitutionnelle de l’effet rétroactif d’une réglementation - et que les exceptions doivent être interprétées de manière restrictive - il doit être identifié avec précision dans la procédure législative et expliqué dans les actes législatifs. </w:t>
      </w:r>
    </w:p>
    <w:p w14:paraId="59228352"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b/>
          <w:sz w:val="24"/>
          <w:szCs w:val="24"/>
          <w:lang w:val="fr-FR"/>
        </w:rPr>
        <w:t>14.</w:t>
      </w:r>
      <w:r w:rsidRPr="003A3218">
        <w:rPr>
          <w:rFonts w:ascii="Times New Roman" w:hAnsi="Times New Roman"/>
          <w:sz w:val="24"/>
          <w:szCs w:val="24"/>
          <w:lang w:val="fr-FR"/>
        </w:rPr>
        <w:t xml:space="preserve"> La question suivante concernait la mesure dans laquelle la décision avait été précédée d’une analyse complète de la compatibilité avec les droits fondamentaux. La Cour constitutionnelle de la République tchèque a estimé, lors de l’examen de la « loi anti-tabac », qui a introduit une interdiction totale de fumer dans les restaurants, que le législateur était en mesure de défendre, dans ce cas, l’objectif visé de protéger la vie et la santé « contre les intérêts commerciaux et autres de l’industrie du tabac ». La référence à l’intention du législateur de protéger la vie et la santé devrait conduire la Cour constitutionnelle à faire preuve de retenue. Elle a souligné que le rapport explicatif démontrait que le législateur avait soigneusement examiné les interventions dans les industries du tabac et </w:t>
      </w:r>
      <w:r w:rsidR="00082E0A">
        <w:rPr>
          <w:rFonts w:ascii="Times New Roman" w:hAnsi="Times New Roman"/>
          <w:sz w:val="24"/>
          <w:szCs w:val="24"/>
          <w:lang w:val="fr-FR"/>
        </w:rPr>
        <w:t>HoR</w:t>
      </w:r>
      <w:r w:rsidR="00082E0A" w:rsidRPr="00082E0A">
        <w:rPr>
          <w:rFonts w:ascii="Times New Roman" w:hAnsi="Times New Roman"/>
          <w:sz w:val="24"/>
          <w:szCs w:val="24"/>
          <w:lang w:val="fr-FR"/>
        </w:rPr>
        <w:t>e</w:t>
      </w:r>
      <w:r w:rsidR="00082E0A">
        <w:rPr>
          <w:rFonts w:ascii="Times New Roman" w:hAnsi="Times New Roman"/>
          <w:sz w:val="24"/>
          <w:szCs w:val="24"/>
          <w:lang w:val="fr-FR"/>
        </w:rPr>
        <w:t>C</w:t>
      </w:r>
      <w:r w:rsidR="00082E0A" w:rsidRPr="00082E0A">
        <w:rPr>
          <w:rFonts w:ascii="Times New Roman" w:hAnsi="Times New Roman"/>
          <w:sz w:val="24"/>
          <w:szCs w:val="24"/>
          <w:lang w:val="fr-FR"/>
        </w:rPr>
        <w:t>a</w:t>
      </w:r>
      <w:r w:rsidRPr="003A3218">
        <w:rPr>
          <w:rFonts w:ascii="Times New Roman" w:hAnsi="Times New Roman"/>
          <w:sz w:val="24"/>
          <w:szCs w:val="24"/>
          <w:lang w:val="fr-FR"/>
        </w:rPr>
        <w:t xml:space="preserve">. Pour ces raisons, la Cour constitutionnelle a conclu que l’interdiction de fumer visait à atteindre des objectifs légitimes et ne constituait pas une ingérence arbitraire dans l’exercice des droits fondamentaux. Selon la Cour tchèque, plus le législateur accorde d’attention à une éventuelle ingérence dans les droits fondamentaux, plus la législation a de chances de survivre </w:t>
      </w:r>
      <w:r w:rsidR="00792E54">
        <w:rPr>
          <w:rFonts w:ascii="Times New Roman" w:hAnsi="Times New Roman"/>
          <w:sz w:val="24"/>
          <w:szCs w:val="24"/>
          <w:lang w:val="fr-FR"/>
        </w:rPr>
        <w:t>au</w:t>
      </w:r>
      <w:r w:rsidRPr="003A3218">
        <w:rPr>
          <w:rFonts w:ascii="Times New Roman" w:hAnsi="Times New Roman"/>
          <w:sz w:val="24"/>
          <w:szCs w:val="24"/>
          <w:lang w:val="fr-FR"/>
        </w:rPr>
        <w:t xml:space="preserve"> </w:t>
      </w:r>
      <w:r w:rsidR="00792E54">
        <w:rPr>
          <w:rFonts w:ascii="Times New Roman" w:hAnsi="Times New Roman"/>
          <w:sz w:val="24"/>
          <w:szCs w:val="24"/>
          <w:lang w:val="fr-FR"/>
        </w:rPr>
        <w:t xml:space="preserve">contrôle </w:t>
      </w:r>
      <w:r w:rsidRPr="003A3218">
        <w:rPr>
          <w:rFonts w:ascii="Times New Roman" w:hAnsi="Times New Roman"/>
          <w:sz w:val="24"/>
          <w:szCs w:val="24"/>
          <w:lang w:val="fr-FR"/>
        </w:rPr>
        <w:t xml:space="preserve">de la Cour constitutionnelle. </w:t>
      </w:r>
    </w:p>
    <w:p w14:paraId="1C14BD68"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sz w:val="24"/>
          <w:szCs w:val="24"/>
          <w:lang w:val="fr-FR"/>
        </w:rPr>
        <w:lastRenderedPageBreak/>
        <w:t>Pour la Cour constitutionnelle de Macédoine du Nord, les débats qui ont lieu au Parlement de la République dans le cadre de l’adoption d’une loi n’ont généralement pas d’impact sur la procédure et le processus décisionnel de la Cour constitutionnelle.</w:t>
      </w:r>
    </w:p>
    <w:p w14:paraId="62B2F660"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b/>
          <w:bCs/>
          <w:color w:val="000000"/>
          <w:sz w:val="24"/>
          <w:szCs w:val="24"/>
          <w:lang w:val="fr-FR"/>
        </w:rPr>
        <w:t>15.</w:t>
      </w:r>
      <w:r w:rsidRPr="003A3218">
        <w:rPr>
          <w:rFonts w:ascii="Times New Roman" w:hAnsi="Times New Roman"/>
          <w:color w:val="000000"/>
          <w:sz w:val="24"/>
          <w:szCs w:val="24"/>
          <w:lang w:val="fr-FR"/>
        </w:rPr>
        <w:t xml:space="preserve"> En ce qui concerne la représentation complète des opinions opposées dans les débats parlementaires lors de l’adoption d’une mesure, la Cour constitutionnelle autrichienne a répondu qu’elle ne vérifie pas seulement une éventuelle inconstitutionnalité matérielle, mais qu’elle examine également le respect des règles procédurales relatives à l’adoption des règles juridiques. Ce faisant, elle doit contrôler chaque étape du processus législatif. Même les violations des règles de procédure du corps législatif qui peuvent affecter le processus d’élaboration des politiques </w:t>
      </w:r>
      <w:r w:rsidR="00D57D23">
        <w:rPr>
          <w:rFonts w:ascii="Times New Roman" w:hAnsi="Times New Roman"/>
          <w:color w:val="000000"/>
          <w:sz w:val="24"/>
          <w:szCs w:val="24"/>
          <w:lang w:val="fr-FR"/>
        </w:rPr>
        <w:t xml:space="preserve">par le </w:t>
      </w:r>
      <w:r w:rsidR="00D57D23" w:rsidRPr="003A3218">
        <w:rPr>
          <w:rFonts w:ascii="Times New Roman" w:hAnsi="Times New Roman"/>
          <w:color w:val="000000"/>
          <w:sz w:val="24"/>
          <w:szCs w:val="24"/>
          <w:lang w:val="fr-FR"/>
        </w:rPr>
        <w:t xml:space="preserve">Parlement </w:t>
      </w:r>
      <w:r w:rsidRPr="003A3218">
        <w:rPr>
          <w:rFonts w:ascii="Times New Roman" w:hAnsi="Times New Roman"/>
          <w:color w:val="000000"/>
          <w:sz w:val="24"/>
          <w:szCs w:val="24"/>
          <w:lang w:val="fr-FR"/>
        </w:rPr>
        <w:t xml:space="preserve">peuvent conduire à la déclaration d’inconstitutionnalité de la loi. Toute mesure prise par les organes impliqués dans le processus législatif de leur propre </w:t>
      </w:r>
      <w:r w:rsidR="005577FD">
        <w:rPr>
          <w:rFonts w:ascii="Times New Roman" w:hAnsi="Times New Roman"/>
          <w:color w:val="000000"/>
          <w:sz w:val="24"/>
          <w:szCs w:val="24"/>
          <w:lang w:val="fr-FR"/>
        </w:rPr>
        <w:t xml:space="preserve">volonté </w:t>
      </w:r>
      <w:r w:rsidRPr="003A3218">
        <w:rPr>
          <w:rFonts w:ascii="Times New Roman" w:hAnsi="Times New Roman"/>
          <w:color w:val="000000"/>
          <w:sz w:val="24"/>
          <w:szCs w:val="24"/>
          <w:lang w:val="fr-FR"/>
        </w:rPr>
        <w:t>dans le but de prendre des décisions n’est pas soumise au pouvoir de contrôle de la Cour constitutionnelle. Par conséquent, les discussions parlementaires sur le sens de la législation proposée n’ont aucune pertinence juridique pour le contrôle des normes juridiques. La « qualité » de la procédure parlementaire n’est pas un critère indépendant pour évaluer la constitutionnalité d’une loi. Les procédures « coopératives », y compris les procédures considérées comme nécessaires pour l’adoption de la loi sur l’équilibre fiscal, constituent une exception spécifique.</w:t>
      </w:r>
    </w:p>
    <w:p w14:paraId="06A2B88A"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Cour constitutionnelle de Croatie note qu’il n’est pas de sa compétence d’analyser le contenu d’un débat parlementaire du point de vue de la représentation complète des positions opposées ou du point de vue de l’attention portée aux raisons générales ou aux implications pour les droits. </w:t>
      </w:r>
      <w:r w:rsidR="005577FD" w:rsidRPr="005577FD">
        <w:rPr>
          <w:rFonts w:ascii="Times New Roman" w:hAnsi="Times New Roman"/>
          <w:color w:val="000000"/>
          <w:sz w:val="24"/>
          <w:szCs w:val="24"/>
          <w:lang w:val="fr-FR"/>
        </w:rPr>
        <w:t>Plus récemment</w:t>
      </w:r>
      <w:r w:rsidRPr="003A3218">
        <w:rPr>
          <w:rFonts w:ascii="Times New Roman" w:hAnsi="Times New Roman"/>
          <w:color w:val="000000"/>
          <w:sz w:val="24"/>
          <w:szCs w:val="24"/>
          <w:lang w:val="fr-FR"/>
        </w:rPr>
        <w:t xml:space="preserve">, dans le cadre du contrôle de constitutionnalité, elle examine si l’objectif poursuivi par le législateur est justifié et prend donc note des éléments de la procédure législative conduisant à l’adoption d’une loi. Toutefois, la Cour a constaté une tendance alarmante à l’augmentation du nombre de lois </w:t>
      </w:r>
      <w:r w:rsidR="005577FD" w:rsidRPr="005577FD">
        <w:rPr>
          <w:rFonts w:ascii="Times New Roman" w:hAnsi="Times New Roman"/>
          <w:color w:val="000000"/>
          <w:sz w:val="24"/>
          <w:szCs w:val="24"/>
          <w:lang w:val="fr-FR"/>
        </w:rPr>
        <w:t xml:space="preserve">à adopter </w:t>
      </w:r>
      <w:r w:rsidRPr="003A3218">
        <w:rPr>
          <w:rFonts w:ascii="Times New Roman" w:hAnsi="Times New Roman"/>
          <w:color w:val="000000"/>
          <w:sz w:val="24"/>
          <w:szCs w:val="24"/>
          <w:lang w:val="fr-FR"/>
        </w:rPr>
        <w:t xml:space="preserve">selon la procédure d’urgence. En effet, la Cour a constaté que cela pouvait porter atteinte à l’essence même du parlementarisme, à savoir les normes inhérentes à la procédure démocratique, en particulier l’exigence d’un large débat public. L’adoption de lois </w:t>
      </w:r>
      <w:r w:rsidR="00D45248">
        <w:rPr>
          <w:rFonts w:ascii="Times New Roman" w:hAnsi="Times New Roman"/>
          <w:color w:val="000000"/>
          <w:sz w:val="24"/>
          <w:szCs w:val="24"/>
          <w:lang w:val="fr-FR"/>
        </w:rPr>
        <w:t>selon</w:t>
      </w:r>
      <w:r w:rsidRPr="003A3218">
        <w:rPr>
          <w:rFonts w:ascii="Times New Roman" w:hAnsi="Times New Roman"/>
          <w:color w:val="000000"/>
          <w:sz w:val="24"/>
          <w:szCs w:val="24"/>
          <w:lang w:val="fr-FR"/>
        </w:rPr>
        <w:t xml:space="preserve"> la procédure d’urgence devrait donc être une exception et doit être justifiée par des raisons précises et concluantes. Il ne semble pas que, ce faisant, la Cour ait fait une distinction entre les raisons générales et l’implication pour les droits. </w:t>
      </w:r>
    </w:p>
    <w:p w14:paraId="2B8E3CAF"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Selon la Cour constitutionnelle de </w:t>
      </w:r>
      <w:r w:rsidR="00B116C8">
        <w:rPr>
          <w:rFonts w:ascii="Times New Roman" w:hAnsi="Times New Roman"/>
          <w:color w:val="000000"/>
          <w:sz w:val="24"/>
          <w:szCs w:val="24"/>
          <w:lang w:val="fr-FR"/>
        </w:rPr>
        <w:t xml:space="preserve">la République tchèque, le fait qu’elle </w:t>
      </w:r>
      <w:r w:rsidRPr="003A3218">
        <w:rPr>
          <w:rFonts w:ascii="Times New Roman" w:hAnsi="Times New Roman"/>
          <w:color w:val="000000"/>
          <w:sz w:val="24"/>
          <w:szCs w:val="24"/>
          <w:lang w:val="fr-FR"/>
        </w:rPr>
        <w:t xml:space="preserve">évalue si les droits de la minorité parlementaire ont été correctement pris en compte fait partie intégrante du contrôle de </w:t>
      </w:r>
      <w:r w:rsidR="00B116C8">
        <w:rPr>
          <w:rFonts w:ascii="Times New Roman" w:hAnsi="Times New Roman"/>
          <w:color w:val="000000"/>
          <w:sz w:val="24"/>
          <w:szCs w:val="24"/>
          <w:lang w:val="fr-FR"/>
        </w:rPr>
        <w:t xml:space="preserve">la Cour sur la </w:t>
      </w:r>
      <w:r w:rsidRPr="003A3218">
        <w:rPr>
          <w:rFonts w:ascii="Times New Roman" w:hAnsi="Times New Roman"/>
          <w:color w:val="000000"/>
          <w:sz w:val="24"/>
          <w:szCs w:val="24"/>
          <w:lang w:val="fr-FR"/>
        </w:rPr>
        <w:t xml:space="preserve">constitutionnalité de la procédure d’adoption de la </w:t>
      </w:r>
      <w:r w:rsidR="00B116C8">
        <w:rPr>
          <w:rFonts w:ascii="Times New Roman" w:hAnsi="Times New Roman"/>
          <w:color w:val="000000"/>
          <w:sz w:val="24"/>
          <w:szCs w:val="24"/>
          <w:lang w:val="fr-FR"/>
        </w:rPr>
        <w:t xml:space="preserve">réglementation </w:t>
      </w:r>
      <w:r w:rsidR="00893243">
        <w:rPr>
          <w:rFonts w:ascii="Times New Roman" w:hAnsi="Times New Roman"/>
          <w:color w:val="000000"/>
          <w:sz w:val="24"/>
          <w:szCs w:val="24"/>
          <w:lang w:val="fr-FR"/>
        </w:rPr>
        <w:t xml:space="preserve">juridique </w:t>
      </w:r>
      <w:r w:rsidRPr="003A3218">
        <w:rPr>
          <w:rFonts w:ascii="Times New Roman" w:hAnsi="Times New Roman"/>
          <w:color w:val="000000"/>
          <w:sz w:val="24"/>
          <w:szCs w:val="24"/>
          <w:lang w:val="fr-FR"/>
        </w:rPr>
        <w:t xml:space="preserve">contestée. Les droits fondamentaux de la minorité parlementaire ou de ses membres peuvent être considérés, avant tout, comme des droits garantissant la participation aux travaux parlementaires et permettant à l’opposition parlementaire d’exercer une surveillance et un contrôle sur la majorité au pouvoir, ce qui peut être compris comme une caractéristique fondamentale de l’État de droit. La Cour tchèque considère le droit de bloquer ou de reporter les décisions prises par la majorité comme un droit de la minorité parlementaire. Chaque député ou sénateur doit avoir la possibilité réelle de prendre connaissance du contenu du projet </w:t>
      </w:r>
      <w:r w:rsidR="00893243">
        <w:rPr>
          <w:rFonts w:ascii="Times New Roman" w:hAnsi="Times New Roman"/>
          <w:color w:val="000000"/>
          <w:sz w:val="24"/>
          <w:szCs w:val="24"/>
          <w:lang w:val="fr-FR"/>
        </w:rPr>
        <w:t>d’acte</w:t>
      </w:r>
      <w:r w:rsidRPr="003A3218">
        <w:rPr>
          <w:rFonts w:ascii="Times New Roman" w:hAnsi="Times New Roman"/>
          <w:color w:val="000000"/>
          <w:sz w:val="24"/>
          <w:szCs w:val="24"/>
          <w:lang w:val="fr-FR"/>
        </w:rPr>
        <w:t xml:space="preserve"> soumis, de l’évaluer et de prendre position à son sujet dans le cadre de son examen par la chambre compétente du Parlement ou ses organes, ce pour quoi il doit disposer d’un temps suffisant</w:t>
      </w:r>
      <w:r w:rsidRPr="003A3218">
        <w:rPr>
          <w:rFonts w:ascii="TimesNewRomanPSMT" w:hAnsi="TimesNewRomanPSMT"/>
          <w:color w:val="000000"/>
          <w:sz w:val="24"/>
          <w:szCs w:val="24"/>
          <w:lang w:val="fr-FR"/>
        </w:rPr>
        <w:t>.</w:t>
      </w:r>
    </w:p>
    <w:p w14:paraId="0ABAC20C" w14:textId="77777777" w:rsidR="008F2AB7" w:rsidRPr="003A3218" w:rsidRDefault="008F2AB7" w:rsidP="00022FA9">
      <w:pPr>
        <w:spacing w:line="276" w:lineRule="auto"/>
        <w:jc w:val="both"/>
        <w:rPr>
          <w:rFonts w:ascii="Times New Roman" w:hAnsi="Times New Roman"/>
          <w:color w:val="000000"/>
          <w:sz w:val="24"/>
          <w:szCs w:val="24"/>
          <w:lang w:val="fr-FR"/>
        </w:rPr>
      </w:pPr>
      <w:r w:rsidRPr="003A3218">
        <w:rPr>
          <w:rFonts w:ascii="Times New Roman" w:hAnsi="Times New Roman"/>
          <w:b/>
          <w:bCs/>
          <w:color w:val="000000"/>
          <w:sz w:val="24"/>
          <w:szCs w:val="24"/>
          <w:lang w:val="fr-FR"/>
        </w:rPr>
        <w:t>16.</w:t>
      </w:r>
      <w:r w:rsidRPr="003A3218">
        <w:rPr>
          <w:rFonts w:ascii="Times New Roman" w:hAnsi="Times New Roman"/>
          <w:color w:val="000000"/>
          <w:sz w:val="24"/>
          <w:szCs w:val="24"/>
          <w:lang w:val="fr-FR"/>
        </w:rPr>
        <w:t xml:space="preserve"> La question suivante portait sur la nature de</w:t>
      </w:r>
      <w:r w:rsidR="00893243">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preuv</w:t>
      </w:r>
      <w:r w:rsidR="00893243">
        <w:rPr>
          <w:rFonts w:ascii="Times New Roman" w:hAnsi="Times New Roman"/>
          <w:color w:val="000000"/>
          <w:sz w:val="24"/>
          <w:szCs w:val="24"/>
          <w:lang w:val="fr-FR"/>
        </w:rPr>
        <w:t>es</w:t>
      </w:r>
      <w:r w:rsidRPr="003A3218">
        <w:rPr>
          <w:rFonts w:ascii="Times New Roman" w:hAnsi="Times New Roman"/>
          <w:color w:val="000000"/>
          <w:sz w:val="24"/>
          <w:szCs w:val="24"/>
          <w:lang w:val="fr-FR"/>
        </w:rPr>
        <w:t xml:space="preserve"> concluante</w:t>
      </w:r>
      <w:r w:rsidR="00893243">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de la légitimité </w:t>
      </w:r>
      <w:r w:rsidR="00893243">
        <w:rPr>
          <w:rFonts w:ascii="Times New Roman" w:hAnsi="Times New Roman"/>
          <w:color w:val="000000"/>
          <w:sz w:val="24"/>
          <w:szCs w:val="24"/>
          <w:lang w:val="fr-FR"/>
        </w:rPr>
        <w:t>d</w:t>
      </w:r>
      <w:r w:rsidRPr="003A3218">
        <w:rPr>
          <w:rFonts w:ascii="Times New Roman" w:hAnsi="Times New Roman"/>
          <w:color w:val="000000"/>
          <w:sz w:val="24"/>
          <w:szCs w:val="24"/>
          <w:lang w:val="fr-FR"/>
        </w:rPr>
        <w:t xml:space="preserve">émocratique d’une décision lorsque celle-ci est prise par le pouvoir législatif ou après </w:t>
      </w:r>
      <w:r w:rsidRPr="003A3218">
        <w:rPr>
          <w:rFonts w:ascii="Times New Roman" w:hAnsi="Times New Roman"/>
          <w:color w:val="000000"/>
          <w:sz w:val="24"/>
          <w:szCs w:val="24"/>
          <w:lang w:val="fr-FR"/>
        </w:rPr>
        <w:lastRenderedPageBreak/>
        <w:t xml:space="preserve">consultation ou débat public. La Cour constitutionnelle de Lituanie a statué dans une affaire que la législation adoptée dans le </w:t>
      </w:r>
      <w:r w:rsidR="00893243">
        <w:rPr>
          <w:rFonts w:ascii="Times New Roman" w:hAnsi="Times New Roman"/>
          <w:color w:val="000000"/>
          <w:sz w:val="24"/>
          <w:szCs w:val="24"/>
          <w:lang w:val="fr-FR"/>
        </w:rPr>
        <w:t xml:space="preserve">régime </w:t>
      </w:r>
      <w:r w:rsidRPr="003A3218">
        <w:rPr>
          <w:rFonts w:ascii="Times New Roman" w:hAnsi="Times New Roman"/>
          <w:color w:val="000000"/>
          <w:sz w:val="24"/>
          <w:szCs w:val="24"/>
          <w:lang w:val="fr-FR"/>
        </w:rPr>
        <w:t xml:space="preserve">d’urgence et </w:t>
      </w:r>
      <w:r w:rsidR="00893243">
        <w:rPr>
          <w:rFonts w:ascii="Times New Roman" w:hAnsi="Times New Roman"/>
          <w:color w:val="000000"/>
          <w:sz w:val="24"/>
          <w:szCs w:val="24"/>
          <w:lang w:val="fr-FR"/>
        </w:rPr>
        <w:t xml:space="preserve">les procédures spéciales </w:t>
      </w:r>
      <w:r w:rsidRPr="003A3218">
        <w:rPr>
          <w:rFonts w:ascii="Times New Roman" w:hAnsi="Times New Roman"/>
          <w:color w:val="000000"/>
          <w:sz w:val="24"/>
          <w:szCs w:val="24"/>
          <w:lang w:val="fr-FR"/>
        </w:rPr>
        <w:t>d’urgence n’est autorisée que dans des cas exceptionnels raisonnables, étant donné que la phase de</w:t>
      </w:r>
      <w:r w:rsidR="00893243">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consultation</w:t>
      </w:r>
      <w:r w:rsidR="00893243">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publique</w:t>
      </w:r>
      <w:r w:rsidR="00893243">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est omise lorsqu’une loi est adoptée dans le </w:t>
      </w:r>
      <w:r w:rsidR="00893243">
        <w:rPr>
          <w:rFonts w:ascii="Times New Roman" w:hAnsi="Times New Roman"/>
          <w:color w:val="000000"/>
          <w:sz w:val="24"/>
          <w:szCs w:val="24"/>
          <w:lang w:val="fr-FR"/>
        </w:rPr>
        <w:t xml:space="preserve">régime </w:t>
      </w:r>
      <w:r w:rsidRPr="003A3218">
        <w:rPr>
          <w:rFonts w:ascii="Times New Roman" w:hAnsi="Times New Roman"/>
          <w:color w:val="000000"/>
          <w:sz w:val="24"/>
          <w:szCs w:val="24"/>
          <w:lang w:val="fr-FR"/>
        </w:rPr>
        <w:t>d’urgence ou d’urgence spéciale. Les consultations publiques sont également l’un des moyens de mettre en œuvre le droit des citoyens à participer à la gouvernance de l’État. C’est pourquoi la Cour constitutionnelle a déclaré que « pour assurer la publicité et la transparence du processus législatif, ainsi que le</w:t>
      </w:r>
      <w:r w:rsidR="005E1892">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droit</w:t>
      </w:r>
      <w:r w:rsidR="005E1892">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des citoyens de participer à la gouvernance de leur État et de critiquer le travail des institutions de l’État ou de leurs fonctionnaires... la législation doit être réglementée de manière à créer la possibilité pour la société de participer à la délibération sur les projets de loi. Pour atteindre cet objectif, il faut établir une réglementation juridique du processus législatif sur la base de laquelle les projets de loi soumis au </w:t>
      </w:r>
      <w:r w:rsidRPr="003E7E48">
        <w:rPr>
          <w:rFonts w:ascii="Times New Roman" w:hAnsi="Times New Roman"/>
          <w:i/>
          <w:color w:val="000000"/>
          <w:sz w:val="24"/>
          <w:szCs w:val="24"/>
          <w:lang w:val="fr-FR"/>
        </w:rPr>
        <w:t>Seimas</w:t>
      </w:r>
      <w:r w:rsidRPr="003A3218">
        <w:rPr>
          <w:rFonts w:ascii="Times New Roman" w:hAnsi="Times New Roman"/>
          <w:color w:val="000000"/>
          <w:sz w:val="24"/>
          <w:szCs w:val="24"/>
          <w:lang w:val="fr-FR"/>
        </w:rPr>
        <w:t xml:space="preserve"> sont rendus publics afin que les groupes de la société et les parties </w:t>
      </w:r>
      <w:r w:rsidR="00831F6B">
        <w:rPr>
          <w:rFonts w:ascii="Times New Roman" w:hAnsi="Times New Roman"/>
          <w:color w:val="000000"/>
          <w:sz w:val="24"/>
          <w:szCs w:val="24"/>
          <w:lang w:val="fr-FR"/>
        </w:rPr>
        <w:t>impliquées</w:t>
      </w:r>
      <w:r w:rsidRPr="003A3218">
        <w:rPr>
          <w:rFonts w:ascii="Times New Roman" w:hAnsi="Times New Roman"/>
          <w:color w:val="000000"/>
          <w:sz w:val="24"/>
          <w:szCs w:val="24"/>
          <w:lang w:val="fr-FR"/>
        </w:rPr>
        <w:t xml:space="preserve"> aient suffisamment de temps pour y accéder et exprimer leur opinion, leurs commentaires et leurs propositions sur ces projets de loi, qui sont évalués de manière responsable et raisonnée ». En outre, il existe une obligation d’</w:t>
      </w:r>
      <w:r w:rsidR="00DF4964">
        <w:rPr>
          <w:rFonts w:ascii="Times New Roman" w:hAnsi="Times New Roman"/>
          <w:color w:val="000000"/>
          <w:sz w:val="24"/>
          <w:szCs w:val="24"/>
          <w:lang w:val="fr-FR"/>
        </w:rPr>
        <w:t xml:space="preserve">analyser et de prendre en compte les </w:t>
      </w:r>
      <w:r w:rsidRPr="003A3218">
        <w:rPr>
          <w:rFonts w:ascii="Times New Roman" w:hAnsi="Times New Roman"/>
          <w:color w:val="000000"/>
          <w:sz w:val="24"/>
          <w:szCs w:val="24"/>
          <w:lang w:val="fr-FR"/>
        </w:rPr>
        <w:t>opinion</w:t>
      </w:r>
      <w:r w:rsidR="00DF4964">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publique</w:t>
      </w:r>
      <w:r w:rsidR="00DF4964">
        <w:rPr>
          <w:rFonts w:ascii="Times New Roman" w:hAnsi="Times New Roman"/>
          <w:color w:val="000000"/>
          <w:sz w:val="24"/>
          <w:szCs w:val="24"/>
          <w:lang w:val="fr-FR"/>
        </w:rPr>
        <w:t>s</w:t>
      </w:r>
      <w:r w:rsidRPr="003A3218">
        <w:rPr>
          <w:rFonts w:ascii="Times New Roman" w:hAnsi="Times New Roman"/>
          <w:color w:val="000000"/>
          <w:sz w:val="24"/>
          <w:szCs w:val="24"/>
          <w:lang w:val="fr-FR"/>
        </w:rPr>
        <w:t xml:space="preserve">. La Cour constitutionnelle a estimé qu’en ce qui concerne les exigences de publicité et de transparence du processus législatif et les exigences de qualité des lois adoptées, des unités structurelles du </w:t>
      </w:r>
      <w:r w:rsidRPr="00DF4964">
        <w:rPr>
          <w:rFonts w:ascii="Times New Roman" w:hAnsi="Times New Roman"/>
          <w:i/>
          <w:color w:val="000000"/>
          <w:sz w:val="24"/>
          <w:szCs w:val="24"/>
          <w:lang w:val="fr-FR"/>
        </w:rPr>
        <w:t>Seimas</w:t>
      </w:r>
      <w:r w:rsidRPr="003A3218">
        <w:rPr>
          <w:rFonts w:ascii="Times New Roman" w:hAnsi="Times New Roman"/>
          <w:color w:val="000000"/>
          <w:sz w:val="24"/>
          <w:szCs w:val="24"/>
          <w:lang w:val="fr-FR"/>
        </w:rPr>
        <w:t xml:space="preserve"> doivent être mises en place pour analyser et évaluer les commentaires et les propositions reçus sur les projets de loi en cours de </w:t>
      </w:r>
      <w:r w:rsidR="00DF4964">
        <w:rPr>
          <w:rFonts w:ascii="Times New Roman" w:hAnsi="Times New Roman"/>
          <w:color w:val="000000"/>
          <w:sz w:val="24"/>
          <w:szCs w:val="24"/>
          <w:lang w:val="fr-FR"/>
        </w:rPr>
        <w:t>débat</w:t>
      </w:r>
      <w:r w:rsidRPr="003A3218">
        <w:rPr>
          <w:rFonts w:ascii="Times New Roman" w:hAnsi="Times New Roman"/>
          <w:color w:val="000000"/>
          <w:sz w:val="24"/>
          <w:szCs w:val="24"/>
          <w:lang w:val="fr-FR"/>
        </w:rPr>
        <w:t xml:space="preserve">. Des instruments juridiques préventifs internes </w:t>
      </w:r>
      <w:r w:rsidR="00475D12">
        <w:rPr>
          <w:rFonts w:ascii="Times New Roman" w:hAnsi="Times New Roman"/>
          <w:color w:val="000000"/>
          <w:sz w:val="24"/>
          <w:szCs w:val="24"/>
          <w:lang w:val="fr-FR"/>
        </w:rPr>
        <w:t xml:space="preserve">du </w:t>
      </w:r>
      <w:r w:rsidRPr="00475D12">
        <w:rPr>
          <w:rFonts w:ascii="Times New Roman" w:hAnsi="Times New Roman"/>
          <w:i/>
          <w:color w:val="000000"/>
          <w:sz w:val="24"/>
          <w:szCs w:val="24"/>
          <w:lang w:val="fr-FR"/>
        </w:rPr>
        <w:t>Seimas</w:t>
      </w:r>
      <w:r w:rsidRPr="003A3218">
        <w:rPr>
          <w:rFonts w:ascii="Times New Roman" w:hAnsi="Times New Roman"/>
          <w:color w:val="000000"/>
          <w:sz w:val="24"/>
          <w:szCs w:val="24"/>
          <w:lang w:val="fr-FR"/>
        </w:rPr>
        <w:t xml:space="preserve"> doivent être mis en place afin que les lois et autres actes juridiques adoptés par le </w:t>
      </w:r>
      <w:r w:rsidRPr="00475D12">
        <w:rPr>
          <w:rFonts w:ascii="Times New Roman" w:hAnsi="Times New Roman"/>
          <w:i/>
          <w:color w:val="000000"/>
          <w:sz w:val="24"/>
          <w:szCs w:val="24"/>
          <w:lang w:val="fr-FR"/>
        </w:rPr>
        <w:t>Seimas</w:t>
      </w:r>
      <w:r w:rsidRPr="003A3218">
        <w:rPr>
          <w:rFonts w:ascii="Times New Roman" w:hAnsi="Times New Roman"/>
          <w:color w:val="000000"/>
          <w:sz w:val="24"/>
          <w:szCs w:val="24"/>
          <w:lang w:val="fr-FR"/>
        </w:rPr>
        <w:t xml:space="preserve"> ne soient pas contraires à la Constitution et répondent aux exigences de qualité </w:t>
      </w:r>
      <w:r w:rsidR="00475D12" w:rsidRPr="003A3218">
        <w:rPr>
          <w:rFonts w:ascii="Times New Roman" w:hAnsi="Times New Roman"/>
          <w:color w:val="000000"/>
          <w:sz w:val="24"/>
          <w:szCs w:val="24"/>
          <w:lang w:val="fr-FR"/>
        </w:rPr>
        <w:t xml:space="preserve">découlant de la Constitution </w:t>
      </w:r>
      <w:r w:rsidR="00475D12">
        <w:rPr>
          <w:rFonts w:ascii="Times New Roman" w:hAnsi="Times New Roman"/>
          <w:color w:val="000000"/>
          <w:sz w:val="24"/>
          <w:szCs w:val="24"/>
          <w:lang w:val="fr-FR"/>
        </w:rPr>
        <w:t xml:space="preserve">pour </w:t>
      </w:r>
      <w:r w:rsidR="00A61172">
        <w:rPr>
          <w:rFonts w:ascii="Times New Roman" w:hAnsi="Times New Roman"/>
          <w:color w:val="000000"/>
          <w:sz w:val="24"/>
          <w:szCs w:val="24"/>
          <w:lang w:val="fr-FR"/>
        </w:rPr>
        <w:t>d</w:t>
      </w:r>
      <w:r w:rsidR="00475D12">
        <w:rPr>
          <w:rFonts w:ascii="Times New Roman" w:hAnsi="Times New Roman"/>
          <w:color w:val="000000"/>
          <w:sz w:val="24"/>
          <w:szCs w:val="24"/>
          <w:lang w:val="fr-FR"/>
        </w:rPr>
        <w:t xml:space="preserve">es </w:t>
      </w:r>
      <w:r w:rsidRPr="003A3218">
        <w:rPr>
          <w:rFonts w:ascii="Times New Roman" w:hAnsi="Times New Roman"/>
          <w:color w:val="000000"/>
          <w:sz w:val="24"/>
          <w:szCs w:val="24"/>
          <w:lang w:val="fr-FR"/>
        </w:rPr>
        <w:t xml:space="preserve">lois et autres actes du </w:t>
      </w:r>
      <w:r w:rsidRPr="00475D12">
        <w:rPr>
          <w:rFonts w:ascii="Times New Roman" w:hAnsi="Times New Roman"/>
          <w:i/>
          <w:color w:val="000000"/>
          <w:sz w:val="24"/>
          <w:szCs w:val="24"/>
          <w:lang w:val="fr-FR"/>
        </w:rPr>
        <w:t>Seimas</w:t>
      </w:r>
      <w:r w:rsidRPr="003A3218">
        <w:rPr>
          <w:rFonts w:ascii="Times New Roman" w:hAnsi="Times New Roman"/>
          <w:color w:val="000000"/>
          <w:sz w:val="24"/>
          <w:szCs w:val="24"/>
          <w:lang w:val="fr-FR"/>
        </w:rPr>
        <w:t>.</w:t>
      </w:r>
    </w:p>
    <w:p w14:paraId="39B2E9E0" w14:textId="77777777" w:rsidR="008F2AB7" w:rsidRPr="00C20541" w:rsidRDefault="008F2AB7" w:rsidP="00022FA9">
      <w:pPr>
        <w:spacing w:line="276" w:lineRule="auto"/>
        <w:jc w:val="both"/>
        <w:rPr>
          <w:rFonts w:ascii="Times New Roman" w:hAnsi="Times New Roman"/>
          <w:b/>
          <w:color w:val="000000"/>
          <w:sz w:val="24"/>
          <w:szCs w:val="24"/>
          <w:lang w:val="fr-FR"/>
        </w:rPr>
      </w:pPr>
      <w:r w:rsidRPr="00C20541">
        <w:rPr>
          <w:rFonts w:ascii="Times New Roman" w:hAnsi="Times New Roman"/>
          <w:b/>
          <w:color w:val="000000"/>
          <w:sz w:val="24"/>
          <w:szCs w:val="24"/>
          <w:lang w:val="fr-FR"/>
        </w:rPr>
        <w:t>III. L’étendue des droits, la légalité et la proportionnalité</w:t>
      </w:r>
    </w:p>
    <w:p w14:paraId="1FC313F6" w14:textId="77777777" w:rsidR="008F2AB7" w:rsidRPr="003A3218" w:rsidRDefault="008F2AB7" w:rsidP="00022FA9">
      <w:pPr>
        <w:spacing w:line="276" w:lineRule="auto"/>
        <w:jc w:val="both"/>
        <w:rPr>
          <w:rFonts w:ascii="Times New Roman" w:hAnsi="Times New Roman"/>
          <w:sz w:val="24"/>
          <w:szCs w:val="24"/>
          <w:lang w:val="fr-FR"/>
        </w:rPr>
      </w:pPr>
      <w:r w:rsidRPr="003A3218">
        <w:rPr>
          <w:rFonts w:ascii="Times New Roman" w:hAnsi="Times New Roman"/>
          <w:b/>
          <w:color w:val="000000"/>
          <w:sz w:val="24"/>
          <w:szCs w:val="24"/>
          <w:lang w:val="fr-FR"/>
        </w:rPr>
        <w:t>17.</w:t>
      </w:r>
      <w:r w:rsidRPr="003A3218">
        <w:rPr>
          <w:rFonts w:ascii="Times New Roman" w:hAnsi="Times New Roman"/>
          <w:color w:val="000000"/>
          <w:sz w:val="24"/>
          <w:szCs w:val="24"/>
          <w:lang w:val="fr-FR"/>
        </w:rPr>
        <w:t xml:space="preserve"> En ce qui concerne la déférence des tribunaux au stade de la définition des droits, en donnant du poids à la définition du droit fondamental fournie par le gouvernement ou en l’appliquant à la situation de fait, la Cour constitutionnelle allemande a souligné qu’elle interprète les droits fondamentaux de manière autonome et en tant qu’autorité de dernier ressort. </w:t>
      </w:r>
    </w:p>
    <w:p w14:paraId="19E19930"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belge évite naturellement de jouer sur les mots et s’appuie principalement sur la définition de bon sens ou sur les définitions officielles des concepts juridiques (qu’elles soient </w:t>
      </w:r>
      <w:r w:rsidR="005F3E69">
        <w:rPr>
          <w:rFonts w:ascii="Times New Roman" w:hAnsi="Times New Roman"/>
          <w:sz w:val="24"/>
          <w:szCs w:val="24"/>
          <w:lang w:val="fr-FR"/>
        </w:rPr>
        <w:t>prévues</w:t>
      </w:r>
      <w:r w:rsidRPr="003A3218">
        <w:rPr>
          <w:rFonts w:ascii="Times New Roman" w:hAnsi="Times New Roman"/>
          <w:sz w:val="24"/>
          <w:szCs w:val="24"/>
          <w:lang w:val="fr-FR"/>
        </w:rPr>
        <w:t xml:space="preserve"> par la loi ou déduites des débats parlementaires). Cependant, les définitions ne sont pas toujours en faveur des autorités publiques et la Cour veille à ne pas utiliser une définition de manière à priver les requérants potentiels de l’accès à la justice constitutionnelle. Par exemple, la Cour a donné raison à un </w:t>
      </w:r>
      <w:r w:rsidR="005F3E69" w:rsidRPr="003A3218">
        <w:rPr>
          <w:rFonts w:ascii="Times New Roman" w:hAnsi="Times New Roman"/>
          <w:sz w:val="24"/>
          <w:szCs w:val="24"/>
          <w:lang w:val="fr-FR"/>
        </w:rPr>
        <w:t>requérant</w:t>
      </w:r>
      <w:r w:rsidR="005F3E69">
        <w:rPr>
          <w:rFonts w:ascii="Times New Roman" w:hAnsi="Times New Roman"/>
          <w:sz w:val="24"/>
          <w:szCs w:val="24"/>
          <w:lang w:val="fr-FR"/>
        </w:rPr>
        <w:t xml:space="preserve"> </w:t>
      </w:r>
      <w:r w:rsidRPr="003A3218">
        <w:rPr>
          <w:rFonts w:ascii="Times New Roman" w:hAnsi="Times New Roman"/>
          <w:sz w:val="24"/>
          <w:szCs w:val="24"/>
          <w:lang w:val="fr-FR"/>
        </w:rPr>
        <w:t xml:space="preserve">qui utilisait la définition de « propriétaire riverain » au sens commun, contre la prétendue définition du </w:t>
      </w:r>
      <w:r w:rsidR="005F3E69" w:rsidRPr="003A3218">
        <w:rPr>
          <w:rFonts w:ascii="Times New Roman" w:hAnsi="Times New Roman"/>
          <w:sz w:val="24"/>
          <w:szCs w:val="24"/>
          <w:lang w:val="fr-FR"/>
        </w:rPr>
        <w:t xml:space="preserve">Gouvernement. </w:t>
      </w:r>
    </w:p>
    <w:p w14:paraId="7EBE9196"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La Cour constitutionnelle n’a jamais fait preuve de déférence au stade de la définition des droits pour donner du poids à la définition du droit proposée par le gouvernement ou à l’application de cette définition à la situation factuelle.</w:t>
      </w:r>
    </w:p>
    <w:p w14:paraId="6FE42ECF"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b/>
          <w:sz w:val="24"/>
          <w:szCs w:val="24"/>
          <w:lang w:val="fr-FR"/>
        </w:rPr>
        <w:t>18.</w:t>
      </w:r>
      <w:r w:rsidRPr="003A3218">
        <w:rPr>
          <w:rFonts w:ascii="Times New Roman" w:hAnsi="Times New Roman"/>
          <w:sz w:val="24"/>
          <w:szCs w:val="24"/>
          <w:lang w:val="fr-FR"/>
        </w:rPr>
        <w:t xml:space="preserve"> À la question de savoir si la nature des droits fondamentaux applicables influe sur le degré de </w:t>
      </w:r>
      <w:r w:rsidR="005F3E69" w:rsidRPr="003A3218">
        <w:rPr>
          <w:rFonts w:ascii="Times New Roman" w:hAnsi="Times New Roman"/>
          <w:sz w:val="24"/>
          <w:szCs w:val="24"/>
          <w:lang w:val="fr-FR"/>
        </w:rPr>
        <w:t>déférence</w:t>
      </w:r>
      <w:r w:rsidRPr="003A3218">
        <w:rPr>
          <w:rFonts w:ascii="Times New Roman" w:hAnsi="Times New Roman"/>
          <w:sz w:val="24"/>
          <w:szCs w:val="24"/>
          <w:lang w:val="fr-FR"/>
        </w:rPr>
        <w:t>, la Cour constitutionnelle italienne s’est référée à un arrêt dans lequel elle a déclaré que tous les droits fondamentaux protégés par la Constitution « sont interdépendants et qu’il n’est donc pas possible d’identifier l’un d’entre eux comme absolument pré</w:t>
      </w:r>
      <w:r w:rsidR="005F3E69">
        <w:rPr>
          <w:rFonts w:ascii="Times New Roman" w:hAnsi="Times New Roman"/>
          <w:sz w:val="24"/>
          <w:szCs w:val="24"/>
          <w:lang w:val="fr-FR"/>
        </w:rPr>
        <w:t>dominant par rapport aux autres</w:t>
      </w:r>
      <w:r w:rsidRPr="003A3218">
        <w:rPr>
          <w:rFonts w:ascii="Times New Roman" w:hAnsi="Times New Roman"/>
          <w:sz w:val="24"/>
          <w:szCs w:val="24"/>
          <w:lang w:val="fr-FR"/>
        </w:rPr>
        <w:t xml:space="preserve">. La protection doit toujours être « systématique et non fragmentée en une série de </w:t>
      </w:r>
      <w:r w:rsidRPr="003A3218">
        <w:rPr>
          <w:rFonts w:ascii="Times New Roman" w:hAnsi="Times New Roman"/>
          <w:sz w:val="24"/>
          <w:szCs w:val="24"/>
          <w:lang w:val="fr-FR"/>
        </w:rPr>
        <w:lastRenderedPageBreak/>
        <w:t>règles non coordonnées et susceptibles d’entrer en conflit les unes avec les autres » [...]. S’il n’en était pas ainsi, il en résulterait une extension illimitée de l’un des droits, qui « tyranniserait » d’autres intérêts juridiques reconnus et protégés par le droit constitutionnel en tant qu’expression de la dignité humaine.</w:t>
      </w:r>
      <w:r w:rsidR="005F3E69">
        <w:rPr>
          <w:rFonts w:ascii="Times New Roman" w:hAnsi="Times New Roman"/>
          <w:sz w:val="24"/>
          <w:szCs w:val="24"/>
          <w:lang w:val="fr-FR"/>
        </w:rPr>
        <w:t> »</w:t>
      </w:r>
      <w:r w:rsidRPr="003A3218">
        <w:rPr>
          <w:rFonts w:ascii="Times New Roman" w:hAnsi="Times New Roman"/>
          <w:sz w:val="24"/>
          <w:szCs w:val="24"/>
          <w:lang w:val="fr-FR"/>
        </w:rPr>
        <w:t xml:space="preserve"> </w:t>
      </w:r>
    </w:p>
    <w:p w14:paraId="1FE4BD34"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de Hongrie note que dans le cas des droits fondamentaux de deuxième génération, leur applicabilité peut être justifiée sur la base de la capacité économique du pays, ce qui relève en premier lieu de la compétence du </w:t>
      </w:r>
      <w:r w:rsidR="001140DF" w:rsidRPr="003A3218">
        <w:rPr>
          <w:rFonts w:ascii="Times New Roman" w:hAnsi="Times New Roman"/>
          <w:sz w:val="24"/>
          <w:szCs w:val="24"/>
          <w:lang w:val="fr-FR"/>
        </w:rPr>
        <w:t xml:space="preserve">Gouvernement </w:t>
      </w:r>
      <w:r w:rsidRPr="003A3218">
        <w:rPr>
          <w:rFonts w:ascii="Times New Roman" w:hAnsi="Times New Roman"/>
          <w:sz w:val="24"/>
          <w:szCs w:val="24"/>
          <w:lang w:val="fr-FR"/>
        </w:rPr>
        <w:t xml:space="preserve">et en second lieu de celle de l’Assemblée nationale. Par conséquent, ce n’est que dans des cas exceptionnels qu’une violation d’un tel droit fondamental peut être établie. L’un de ces cas est la garantie par l’État du minimum </w:t>
      </w:r>
      <w:r w:rsidR="001140DF">
        <w:rPr>
          <w:rFonts w:ascii="Times New Roman" w:hAnsi="Times New Roman"/>
          <w:sz w:val="24"/>
          <w:szCs w:val="24"/>
          <w:lang w:val="fr-FR"/>
        </w:rPr>
        <w:t>d’existence</w:t>
      </w:r>
      <w:r w:rsidRPr="003A3218">
        <w:rPr>
          <w:rFonts w:ascii="Times New Roman" w:hAnsi="Times New Roman"/>
          <w:sz w:val="24"/>
          <w:szCs w:val="24"/>
          <w:lang w:val="fr-FR"/>
        </w:rPr>
        <w:t xml:space="preserve">, qui a été extraite de la Constitution en combinant le droit à la sécurité sociale et le droit à la dignité humaine. La Cour constitutionnelle protège le droit à la dignité humaine de manière plus large et plus importante, en tant que droit général de la personnalité, en tant que droit fondamental subsidiaire. La liberté d’expression bénéficie également d’un traitement spécial en tant que « droit mère » des droits fondamentaux de communication. Dans ce dernier cas, le critère décisif est qu’elle est à la base de la participation démocratique aux affaires publiques et qu’elle vise à définir les valeurs d’une société pluraliste et qu’elle « doit donc céder le pas à très peu de droits ». </w:t>
      </w:r>
    </w:p>
    <w:p w14:paraId="253B2D10"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Pour le Tribunal fédéral suisse, la garantie de la dignité humaine joue également un rôle important. Le noyau intangible n’est généralement pas identique à la question du champ d’application de la loi ou de la protection des droits fondamentaux. Il en va différemment pour les droits fondamentaux dont le champ d’application et le noyau intangible sont </w:t>
      </w:r>
      <w:r w:rsidR="00F048A8">
        <w:rPr>
          <w:rFonts w:ascii="Times New Roman" w:hAnsi="Times New Roman"/>
          <w:sz w:val="24"/>
          <w:szCs w:val="24"/>
          <w:lang w:val="fr-FR"/>
        </w:rPr>
        <w:t>combin</w:t>
      </w:r>
      <w:r w:rsidRPr="003A3218">
        <w:rPr>
          <w:rFonts w:ascii="Times New Roman" w:hAnsi="Times New Roman"/>
          <w:sz w:val="24"/>
          <w:szCs w:val="24"/>
          <w:lang w:val="fr-FR"/>
        </w:rPr>
        <w:t xml:space="preserve">és. C’est le cas de l’interdiction de la peine de mort et de la torture, ainsi que du droit à la vie, du droit d’obtenir réparation en cas de </w:t>
      </w:r>
      <w:r w:rsidR="00B0421C">
        <w:rPr>
          <w:rFonts w:ascii="Times New Roman" w:hAnsi="Times New Roman"/>
          <w:sz w:val="24"/>
          <w:szCs w:val="24"/>
          <w:lang w:val="fr-FR"/>
        </w:rPr>
        <w:t>souffrance</w:t>
      </w:r>
      <w:r w:rsidRPr="003A3218">
        <w:rPr>
          <w:rFonts w:ascii="Times New Roman" w:hAnsi="Times New Roman"/>
          <w:sz w:val="24"/>
          <w:szCs w:val="24"/>
          <w:lang w:val="fr-FR"/>
        </w:rPr>
        <w:t xml:space="preserve"> et de l’interdiction de la censure.</w:t>
      </w:r>
    </w:p>
    <w:p w14:paraId="6A3C88FD"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sz w:val="24"/>
          <w:szCs w:val="24"/>
          <w:lang w:val="fr-FR"/>
        </w:rPr>
        <w:t>La Cour constitutionnelle belge opère une sorte de classification des droits en fo</w:t>
      </w:r>
      <w:r w:rsidR="00B0421C">
        <w:rPr>
          <w:rFonts w:ascii="Times New Roman" w:hAnsi="Times New Roman"/>
          <w:sz w:val="24"/>
          <w:szCs w:val="24"/>
          <w:lang w:val="fr-FR"/>
        </w:rPr>
        <w:t>nction de leur importance dans l</w:t>
      </w:r>
      <w:r w:rsidRPr="003A3218">
        <w:rPr>
          <w:rFonts w:ascii="Times New Roman" w:hAnsi="Times New Roman"/>
          <w:sz w:val="24"/>
          <w:szCs w:val="24"/>
          <w:lang w:val="fr-FR"/>
        </w:rPr>
        <w:t xml:space="preserve">a jurisprudence </w:t>
      </w:r>
      <w:r w:rsidR="00B0421C">
        <w:rPr>
          <w:rFonts w:ascii="Times New Roman" w:hAnsi="Times New Roman"/>
          <w:sz w:val="24"/>
          <w:szCs w:val="24"/>
          <w:lang w:val="fr-FR"/>
        </w:rPr>
        <w:t>concernant</w:t>
      </w:r>
      <w:r w:rsidRPr="003A3218">
        <w:rPr>
          <w:rFonts w:ascii="Times New Roman" w:hAnsi="Times New Roman"/>
          <w:sz w:val="24"/>
          <w:szCs w:val="24"/>
          <w:lang w:val="fr-FR"/>
        </w:rPr>
        <w:t xml:space="preserve"> la condition d’un intérêt </w:t>
      </w:r>
      <w:r w:rsidR="00B0421C" w:rsidRPr="00B0421C">
        <w:rPr>
          <w:rFonts w:ascii="Times New Roman" w:hAnsi="Times New Roman"/>
          <w:sz w:val="24"/>
          <w:szCs w:val="24"/>
          <w:lang w:val="fr-FR"/>
        </w:rPr>
        <w:t xml:space="preserve">existant </w:t>
      </w:r>
      <w:r w:rsidR="00B0421C">
        <w:rPr>
          <w:rFonts w:ascii="Times New Roman" w:hAnsi="Times New Roman"/>
          <w:sz w:val="24"/>
          <w:szCs w:val="24"/>
          <w:lang w:val="fr-FR"/>
        </w:rPr>
        <w:t>dans</w:t>
      </w:r>
      <w:r w:rsidR="00887407">
        <w:rPr>
          <w:rFonts w:ascii="Times New Roman" w:hAnsi="Times New Roman"/>
          <w:sz w:val="24"/>
          <w:szCs w:val="24"/>
          <w:lang w:val="fr-FR"/>
        </w:rPr>
        <w:t xml:space="preserve"> le </w:t>
      </w:r>
      <w:r w:rsidR="00887407" w:rsidRPr="00887407">
        <w:rPr>
          <w:rFonts w:ascii="Times New Roman" w:hAnsi="Times New Roman"/>
          <w:sz w:val="24"/>
          <w:szCs w:val="24"/>
          <w:lang w:val="fr-FR"/>
        </w:rPr>
        <w:t xml:space="preserve">procès </w:t>
      </w:r>
      <w:r w:rsidRPr="003A3218">
        <w:rPr>
          <w:rFonts w:ascii="Times New Roman" w:hAnsi="Times New Roman"/>
          <w:sz w:val="24"/>
          <w:szCs w:val="24"/>
          <w:lang w:val="fr-FR"/>
        </w:rPr>
        <w:t xml:space="preserve">ou </w:t>
      </w:r>
      <w:r w:rsidR="00B0421C">
        <w:rPr>
          <w:rFonts w:ascii="Times New Roman" w:hAnsi="Times New Roman"/>
          <w:sz w:val="24"/>
          <w:szCs w:val="24"/>
          <w:lang w:val="fr-FR"/>
        </w:rPr>
        <w:t xml:space="preserve">la </w:t>
      </w:r>
      <w:r w:rsidRPr="003A3218">
        <w:rPr>
          <w:rFonts w:ascii="Times New Roman" w:hAnsi="Times New Roman"/>
          <w:sz w:val="24"/>
          <w:szCs w:val="24"/>
          <w:lang w:val="fr-FR"/>
        </w:rPr>
        <w:t xml:space="preserve">qualité </w:t>
      </w:r>
      <w:r w:rsidR="00887407" w:rsidRPr="00887407">
        <w:rPr>
          <w:rFonts w:ascii="Times New Roman" w:hAnsi="Times New Roman"/>
          <w:sz w:val="24"/>
          <w:szCs w:val="24"/>
          <w:lang w:val="fr-FR"/>
        </w:rPr>
        <w:t>processuelle</w:t>
      </w:r>
      <w:r w:rsidRPr="003A3218">
        <w:rPr>
          <w:rFonts w:ascii="Times New Roman" w:hAnsi="Times New Roman"/>
          <w:sz w:val="24"/>
          <w:szCs w:val="24"/>
          <w:lang w:val="fr-FR"/>
        </w:rPr>
        <w:t xml:space="preserve">. Une personne doit prouver un « intérêt à invalider la loi » et la Cour considère que certains droits sont si importants que toute personne a qualité </w:t>
      </w:r>
      <w:r w:rsidR="00887407" w:rsidRPr="00887407">
        <w:rPr>
          <w:rFonts w:ascii="Times New Roman" w:hAnsi="Times New Roman"/>
          <w:sz w:val="24"/>
          <w:szCs w:val="24"/>
          <w:lang w:val="fr-FR"/>
        </w:rPr>
        <w:t>processuelle</w:t>
      </w:r>
      <w:r w:rsidRPr="003A3218">
        <w:rPr>
          <w:rFonts w:ascii="Times New Roman" w:hAnsi="Times New Roman"/>
          <w:sz w:val="24"/>
          <w:szCs w:val="24"/>
          <w:lang w:val="fr-FR"/>
        </w:rPr>
        <w:t xml:space="preserve">. </w:t>
      </w:r>
      <w:r w:rsidRPr="00B7734C">
        <w:rPr>
          <w:rFonts w:ascii="Times New Roman" w:hAnsi="Times New Roman"/>
          <w:i/>
          <w:sz w:val="24"/>
          <w:szCs w:val="24"/>
          <w:lang w:val="fr-FR"/>
        </w:rPr>
        <w:t>L’habeas corpus</w:t>
      </w:r>
      <w:r w:rsidRPr="003A3218">
        <w:rPr>
          <w:rFonts w:ascii="Times New Roman" w:hAnsi="Times New Roman"/>
          <w:sz w:val="24"/>
          <w:szCs w:val="24"/>
          <w:lang w:val="fr-FR"/>
        </w:rPr>
        <w:t xml:space="preserve"> en fait partie</w:t>
      </w:r>
      <w:r w:rsidRPr="003A3218">
        <w:rPr>
          <w:rFonts w:ascii="Times New Roman" w:hAnsi="Times New Roman"/>
          <w:color w:val="000000"/>
          <w:sz w:val="24"/>
          <w:szCs w:val="24"/>
          <w:lang w:val="fr-FR"/>
        </w:rPr>
        <w:t xml:space="preserve">. Toutefois, l’impact de ce raisonnement est quelque peu limité, car la Cour est généralement assez indulgente lorsqu’il s’agit de la </w:t>
      </w:r>
      <w:r w:rsidR="00B7734C" w:rsidRPr="003A3218">
        <w:rPr>
          <w:rFonts w:ascii="Times New Roman" w:hAnsi="Times New Roman"/>
          <w:sz w:val="24"/>
          <w:szCs w:val="24"/>
          <w:lang w:val="fr-FR"/>
        </w:rPr>
        <w:t xml:space="preserve">qualité </w:t>
      </w:r>
      <w:r w:rsidR="00B7734C" w:rsidRPr="00887407">
        <w:rPr>
          <w:rFonts w:ascii="Times New Roman" w:hAnsi="Times New Roman"/>
          <w:sz w:val="24"/>
          <w:szCs w:val="24"/>
          <w:lang w:val="fr-FR"/>
        </w:rPr>
        <w:t>processuelle</w:t>
      </w:r>
      <w:r w:rsidRPr="003A3218">
        <w:rPr>
          <w:rFonts w:ascii="Times New Roman" w:hAnsi="Times New Roman"/>
          <w:color w:val="000000"/>
          <w:sz w:val="24"/>
          <w:szCs w:val="24"/>
          <w:lang w:val="fr-FR"/>
        </w:rPr>
        <w:t>.</w:t>
      </w:r>
    </w:p>
    <w:p w14:paraId="2F604B5F"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Pour la Cour constitutionnelle autrichienne, le niveau de déférence peut varier en fonction de la nature structurelle du droit fondamental concerné et de la nature et de la substance de l’ingérence dans ce droit. Un bon exemple, en ce qui concerne les procédures de contrôle de la constitutionnalité des lois, est le droit fondamental </w:t>
      </w:r>
      <w:r w:rsidR="00B7734C">
        <w:rPr>
          <w:rFonts w:ascii="Times New Roman" w:hAnsi="Times New Roman"/>
          <w:color w:val="000000"/>
          <w:sz w:val="24"/>
          <w:szCs w:val="24"/>
          <w:lang w:val="fr-FR"/>
        </w:rPr>
        <w:t xml:space="preserve">de participer à des activités </w:t>
      </w:r>
      <w:r w:rsidRPr="003A3218">
        <w:rPr>
          <w:rFonts w:ascii="Times New Roman" w:hAnsi="Times New Roman"/>
          <w:color w:val="000000"/>
          <w:sz w:val="24"/>
          <w:szCs w:val="24"/>
          <w:lang w:val="fr-FR"/>
        </w:rPr>
        <w:t>lucratives. Dans ce cas, la Cour constitutionnelle accorde au législateur une plus grande marge de manœuvre lorsqu’il adopte des dispositions régissant l’exercice d’une profession ou d’une occupation en général que celles qui régissent l’accès à une profession.</w:t>
      </w:r>
    </w:p>
    <w:p w14:paraId="1C383FD9"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Pour la Cour constitutionnelle espagnole, il suffit de </w:t>
      </w:r>
      <w:r w:rsidR="00B7734C">
        <w:rPr>
          <w:rFonts w:ascii="Times New Roman" w:hAnsi="Times New Roman"/>
          <w:color w:val="000000"/>
          <w:sz w:val="24"/>
          <w:szCs w:val="24"/>
          <w:lang w:val="fr-FR"/>
        </w:rPr>
        <w:t xml:space="preserve">souligner </w:t>
      </w:r>
      <w:r w:rsidRPr="003A3218">
        <w:rPr>
          <w:rFonts w:ascii="Times New Roman" w:hAnsi="Times New Roman"/>
          <w:color w:val="000000"/>
          <w:sz w:val="24"/>
          <w:szCs w:val="24"/>
          <w:lang w:val="fr-FR"/>
        </w:rPr>
        <w:t>que les différences entre les droits fondamentaux n’ont rien à voir avec leur importance et qu’il n’existe pas non plus de hiérarchie distincte des droits fondamentaux. La Constitution doit être interprétée dans son ensemble et de manière systématique afin de résoudre les antinomies apparentes. Étant donné qu’il n’existe pas de noyau incontestable du pouvoir d’amendement, il n’est pas nécessaire d’examiner, également sous cet angle, la hiérarchie des droits fondamentaux déjà rejetée.</w:t>
      </w:r>
    </w:p>
    <w:p w14:paraId="34F6347C"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b/>
          <w:color w:val="000000"/>
          <w:sz w:val="24"/>
          <w:szCs w:val="24"/>
          <w:lang w:val="fr-FR"/>
        </w:rPr>
        <w:lastRenderedPageBreak/>
        <w:t>19.</w:t>
      </w:r>
      <w:r w:rsidRPr="003A3218">
        <w:rPr>
          <w:rFonts w:ascii="Times New Roman" w:hAnsi="Times New Roman"/>
          <w:color w:val="000000"/>
          <w:sz w:val="24"/>
          <w:szCs w:val="24"/>
          <w:lang w:val="fr-FR"/>
        </w:rPr>
        <w:t xml:space="preserve"> En ce qui concerne une éventuelle échelle de clarté lors de l’examen de la constitutionnalité d’une loi, la Cour constitutionnelle autrichienne détermine si une disposition peut être interprétée de manière différente d’un cas à l’autre. Pour déterminer le sens de la loi, toutes les méthodes d’interprétation disponibles doivent être épuisées. Ce n’est que si, après l’application de toutes les méthodes d’interprétation, le sens d’une disposition reste flou, que les exigences de l’État de droit sont violées. Dans un cas, la Cour constitutionnelle a justifié l’abrogation d’une disposition d’un règlement sur les allocations de chômage comme étant inconstitutionnelle : « Ce n’est qu’avec une expertise subtile, des compétences méthodologiques extraordinaires et une certaine volonté de résoudre des exercices mentaux que l’on peut généralement comprendre quels ordres doivent être donnés ici.</w:t>
      </w:r>
      <w:r w:rsidR="00C45582">
        <w:rPr>
          <w:rFonts w:ascii="Times New Roman" w:hAnsi="Times New Roman"/>
          <w:color w:val="000000"/>
          <w:sz w:val="24"/>
          <w:szCs w:val="24"/>
          <w:lang w:val="fr-FR"/>
        </w:rPr>
        <w:t> »</w:t>
      </w:r>
      <w:r w:rsidRPr="003A3218">
        <w:rPr>
          <w:rFonts w:ascii="Times New Roman" w:hAnsi="Times New Roman"/>
          <w:color w:val="000000"/>
          <w:sz w:val="24"/>
          <w:szCs w:val="24"/>
          <w:lang w:val="fr-FR"/>
        </w:rPr>
        <w:t xml:space="preserve"> </w:t>
      </w:r>
    </w:p>
    <w:p w14:paraId="64484BEA"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La Cour constitutionnelle d’Albanie dispose d’une échelle de clarté qu’elle applique lorsqu’elle examine la constitutionnalité d’une loi. Le degré de clarté est plus rigoureux lorsqu’il s’agit d’examiner des lois ou des actes normatifs en matière pénale. </w:t>
      </w:r>
    </w:p>
    <w:p w14:paraId="44954C2A"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Pour la Cour constitutionnelle d’Espagne, étant donné que les dispositions constitutionnelles se caractérisent par une formulation particulièrement ouverte, l’aphorisme </w:t>
      </w:r>
      <w:r w:rsidRPr="008A0BE7">
        <w:rPr>
          <w:rFonts w:ascii="Times New Roman" w:hAnsi="Times New Roman"/>
          <w:i/>
          <w:color w:val="000000"/>
          <w:sz w:val="24"/>
          <w:szCs w:val="24"/>
          <w:lang w:val="fr-FR"/>
        </w:rPr>
        <w:t xml:space="preserve">in claris non fit interpretatio </w:t>
      </w:r>
      <w:r w:rsidRPr="003A3218">
        <w:rPr>
          <w:rFonts w:ascii="Times New Roman" w:hAnsi="Times New Roman"/>
          <w:color w:val="000000"/>
          <w:sz w:val="24"/>
          <w:szCs w:val="24"/>
          <w:lang w:val="fr-FR"/>
        </w:rPr>
        <w:t>ne peut être utilisé. Il n’est pas surprenant que lorsque l</w:t>
      </w:r>
      <w:r w:rsidR="0026469F">
        <w:rPr>
          <w:rFonts w:ascii="Times New Roman" w:hAnsi="Times New Roman"/>
          <w:color w:val="000000"/>
          <w:sz w:val="24"/>
          <w:szCs w:val="24"/>
          <w:lang w:val="fr-FR"/>
        </w:rPr>
        <w:t xml:space="preserve">a Cour </w:t>
      </w:r>
      <w:r w:rsidRPr="003A3218">
        <w:rPr>
          <w:rFonts w:ascii="Times New Roman" w:hAnsi="Times New Roman"/>
          <w:color w:val="000000"/>
          <w:sz w:val="24"/>
          <w:szCs w:val="24"/>
          <w:lang w:val="fr-FR"/>
        </w:rPr>
        <w:t>constitutionnel</w:t>
      </w:r>
      <w:r w:rsidR="0026469F">
        <w:rPr>
          <w:rFonts w:ascii="Times New Roman" w:hAnsi="Times New Roman"/>
          <w:color w:val="000000"/>
          <w:sz w:val="24"/>
          <w:szCs w:val="24"/>
          <w:lang w:val="fr-FR"/>
        </w:rPr>
        <w:t>le</w:t>
      </w:r>
      <w:r w:rsidRPr="003A3218">
        <w:rPr>
          <w:rFonts w:ascii="Times New Roman" w:hAnsi="Times New Roman"/>
          <w:color w:val="000000"/>
          <w:sz w:val="24"/>
          <w:szCs w:val="24"/>
          <w:lang w:val="fr-FR"/>
        </w:rPr>
        <w:t xml:space="preserve"> a invoqué cette règle, </w:t>
      </w:r>
      <w:r w:rsidR="0026469F">
        <w:rPr>
          <w:rFonts w:ascii="Times New Roman" w:hAnsi="Times New Roman"/>
          <w:color w:val="000000"/>
          <w:sz w:val="24"/>
          <w:szCs w:val="24"/>
          <w:lang w:val="fr-FR"/>
        </w:rPr>
        <w:t xml:space="preserve">elle </w:t>
      </w:r>
      <w:r w:rsidRPr="003A3218">
        <w:rPr>
          <w:rFonts w:ascii="Times New Roman" w:hAnsi="Times New Roman"/>
          <w:color w:val="000000"/>
          <w:sz w:val="24"/>
          <w:szCs w:val="24"/>
          <w:lang w:val="fr-FR"/>
        </w:rPr>
        <w:t>l’a fait dans le cadre de l’interprétation de règles juridiques. Ce fut le cas lors de la comparaison entre les règles de l’État et les règles régionales, où il y avait une contradiction évidente, ou lors de la détermination du lieu et du délai de présentation des candidats dans les processus électoraux.</w:t>
      </w:r>
    </w:p>
    <w:p w14:paraId="2E97C046"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color w:val="000000"/>
          <w:sz w:val="24"/>
          <w:szCs w:val="24"/>
          <w:lang w:val="fr-FR"/>
        </w:rPr>
        <w:t xml:space="preserve">En ce qui concerne le principe </w:t>
      </w:r>
      <w:r w:rsidRPr="0026469F">
        <w:rPr>
          <w:rFonts w:ascii="Times New Roman" w:hAnsi="Times New Roman"/>
          <w:i/>
          <w:color w:val="000000"/>
          <w:sz w:val="24"/>
          <w:szCs w:val="24"/>
          <w:lang w:val="fr-FR"/>
        </w:rPr>
        <w:t>in claris non fit interpretatio</w:t>
      </w:r>
      <w:r w:rsidRPr="003A3218">
        <w:rPr>
          <w:rFonts w:ascii="Times New Roman" w:hAnsi="Times New Roman"/>
          <w:color w:val="000000"/>
          <w:sz w:val="24"/>
          <w:szCs w:val="24"/>
          <w:lang w:val="fr-FR"/>
        </w:rPr>
        <w:t xml:space="preserve">, le Tribunal constitutionnel d’Andorre ne renonce pas à sa fonction d’interprète constitutionnel de la loi, qu’il considère comme essentielle : « Aujourd’hui, toute la communauté juridique s’accorde à dire que l’adage </w:t>
      </w:r>
      <w:r w:rsidRPr="00BF739D">
        <w:rPr>
          <w:rFonts w:ascii="Times New Roman" w:hAnsi="Times New Roman"/>
          <w:i/>
          <w:color w:val="000000"/>
          <w:sz w:val="24"/>
          <w:szCs w:val="24"/>
          <w:lang w:val="fr-FR"/>
        </w:rPr>
        <w:t>in claris non fit interpretatio</w:t>
      </w:r>
      <w:r w:rsidRPr="003A3218">
        <w:rPr>
          <w:rFonts w:ascii="Times New Roman" w:hAnsi="Times New Roman"/>
          <w:color w:val="000000"/>
          <w:sz w:val="24"/>
          <w:szCs w:val="24"/>
          <w:lang w:val="fr-FR"/>
        </w:rPr>
        <w:t xml:space="preserve"> ne peut être compris dans un sens purement littéral ou grammatical, puisqu’il faut toujours interpréter, même pour déterminer si un texte est clair. L’interprète est, comme on dit, un « médiateur » qui transfère une réalité, matérielle ou idéale, d’un texte juridique, philosophique ou littéraire ou d’une partition musicale, de l’intuition d’un artiste à l’œuvre d’un artisan, à son incarnation pratique</w:t>
      </w:r>
      <w:r w:rsidRPr="003A3218">
        <w:rPr>
          <w:rFonts w:ascii="Times New Roman" w:hAnsi="Times New Roman"/>
          <w:sz w:val="24"/>
          <w:szCs w:val="24"/>
          <w:lang w:val="fr-FR"/>
        </w:rPr>
        <w:t xml:space="preserve">. L’interprétation est une activité essentielle dans tout processus herméneutique et implique de la subtilité dans sa compréhension, son explication et son application ». </w:t>
      </w:r>
    </w:p>
    <w:p w14:paraId="0EB80F2E"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b/>
          <w:sz w:val="24"/>
          <w:szCs w:val="24"/>
          <w:lang w:val="fr-FR"/>
        </w:rPr>
        <w:t>20.</w:t>
      </w:r>
      <w:r w:rsidRPr="003A3218">
        <w:rPr>
          <w:rFonts w:ascii="Times New Roman" w:hAnsi="Times New Roman"/>
          <w:sz w:val="24"/>
          <w:szCs w:val="24"/>
          <w:lang w:val="fr-FR"/>
        </w:rPr>
        <w:t xml:space="preserve"> En ce qui concerne l’intensité du contrôle dans le cas du test du but légitime, la Cour constitutionnelle espagnole n’a pas eu besoin de développer l’exigence que les mesures restrictives d’une loi poursuivent un but constitutionnellement légitime. La Cour belge n’a jamais conclu qu’une disposition particulière n’avait pas satisfait au </w:t>
      </w:r>
      <w:r w:rsidR="00BD7DDA" w:rsidRPr="003A3218">
        <w:rPr>
          <w:rFonts w:ascii="Times New Roman" w:hAnsi="Times New Roman"/>
          <w:sz w:val="24"/>
          <w:szCs w:val="24"/>
          <w:lang w:val="fr-FR"/>
        </w:rPr>
        <w:t xml:space="preserve">test </w:t>
      </w:r>
      <w:r w:rsidRPr="003A3218">
        <w:rPr>
          <w:rFonts w:ascii="Times New Roman" w:hAnsi="Times New Roman"/>
          <w:sz w:val="24"/>
          <w:szCs w:val="24"/>
          <w:lang w:val="fr-FR"/>
        </w:rPr>
        <w:t xml:space="preserve">du but légitime. </w:t>
      </w:r>
    </w:p>
    <w:p w14:paraId="462B11B5"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constitutionnelle slovène établit l’objectif du législateur à partir du texte de la loi, des documents législatifs, de la réponse soumise par le législateur dans la procédure de contrôle de constitutionnalité et de l’avis du </w:t>
      </w:r>
      <w:r w:rsidR="00BD7DDA" w:rsidRPr="003A3218">
        <w:rPr>
          <w:rFonts w:ascii="Times New Roman" w:hAnsi="Times New Roman"/>
          <w:sz w:val="24"/>
          <w:szCs w:val="24"/>
          <w:lang w:val="fr-FR"/>
        </w:rPr>
        <w:t xml:space="preserve">Gouvernement </w:t>
      </w:r>
      <w:r w:rsidRPr="003A3218">
        <w:rPr>
          <w:rFonts w:ascii="Times New Roman" w:hAnsi="Times New Roman"/>
          <w:sz w:val="24"/>
          <w:szCs w:val="24"/>
          <w:lang w:val="fr-FR"/>
        </w:rPr>
        <w:t>ou d’une autre autorité compétente. Si le but ne peut être déterminé de cette manière, la Cour constitutionnelle peut également le déduire de l’expérience générale de la vie, à condition qu’il soit suffisamment identifiable. Toutefois, si l’existence d’un but constitutionnellement admissible pour l’ingérence en question n’est pas claire et identifiable sans équivoque, il n’</w:t>
      </w:r>
      <w:r w:rsidR="00BD7DDA">
        <w:rPr>
          <w:rFonts w:ascii="Times New Roman" w:hAnsi="Times New Roman"/>
          <w:sz w:val="24"/>
          <w:szCs w:val="24"/>
          <w:lang w:val="fr-FR"/>
        </w:rPr>
        <w:t xml:space="preserve">incombe </w:t>
      </w:r>
      <w:r w:rsidRPr="003A3218">
        <w:rPr>
          <w:rFonts w:ascii="Times New Roman" w:hAnsi="Times New Roman"/>
          <w:sz w:val="24"/>
          <w:szCs w:val="24"/>
          <w:lang w:val="fr-FR"/>
        </w:rPr>
        <w:t xml:space="preserve">pas à la Cour constitutionnelle de vérifier la </w:t>
      </w:r>
      <w:r w:rsidR="00BD7DDA">
        <w:rPr>
          <w:rFonts w:ascii="Times New Roman" w:hAnsi="Times New Roman"/>
          <w:sz w:val="24"/>
          <w:szCs w:val="24"/>
          <w:lang w:val="fr-FR"/>
        </w:rPr>
        <w:t xml:space="preserve">cohérence </w:t>
      </w:r>
      <w:r w:rsidRPr="003A3218">
        <w:rPr>
          <w:rFonts w:ascii="Times New Roman" w:hAnsi="Times New Roman"/>
          <w:sz w:val="24"/>
          <w:szCs w:val="24"/>
          <w:lang w:val="fr-FR"/>
        </w:rPr>
        <w:t xml:space="preserve">de la </w:t>
      </w:r>
      <w:r w:rsidR="00BD7DDA">
        <w:rPr>
          <w:rFonts w:ascii="Times New Roman" w:hAnsi="Times New Roman"/>
          <w:sz w:val="24"/>
          <w:szCs w:val="24"/>
          <w:lang w:val="fr-FR"/>
        </w:rPr>
        <w:t xml:space="preserve">réglementation avec </w:t>
      </w:r>
      <w:r w:rsidRPr="003A3218">
        <w:rPr>
          <w:rFonts w:ascii="Times New Roman" w:hAnsi="Times New Roman"/>
          <w:sz w:val="24"/>
          <w:szCs w:val="24"/>
          <w:lang w:val="fr-FR"/>
        </w:rPr>
        <w:t>la Constitution à la lumière d’éventuels buts purement hypothétiques.</w:t>
      </w:r>
    </w:p>
    <w:p w14:paraId="7D5316DB"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b/>
          <w:sz w:val="24"/>
          <w:szCs w:val="24"/>
          <w:lang w:val="fr-FR"/>
        </w:rPr>
        <w:lastRenderedPageBreak/>
        <w:t>21.</w:t>
      </w:r>
      <w:r w:rsidRPr="003A3218">
        <w:rPr>
          <w:rFonts w:ascii="Times New Roman" w:hAnsi="Times New Roman"/>
          <w:sz w:val="24"/>
          <w:szCs w:val="24"/>
          <w:lang w:val="fr-FR"/>
        </w:rPr>
        <w:t xml:space="preserve"> La question suivante visait à établir quel test de proportionnalité les tribunaux utilisent et s’ils appliquent toutes les étapes de ce test.</w:t>
      </w:r>
    </w:p>
    <w:p w14:paraId="77A0C20C"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La théorie ou la jurisprudence de la Cour constitutionnelle de la République tchèque n’a pas encore clairement établi si le test du but légitime est une étape distincte du contrôle de constitutionnalité ou s’il fait partie du test de proportionnalité. En principe, la Cour applique le test du but légitime de trois manières. Le test du but légitime peut être une étape distincte dans l’évaluation de la restriction du droit avant le test de proportionnalité ; il peut être inclus dans l’exigence d’adéquation du test de proportionnalité en trois étapes ; ou il peut constituer l’étape initiale (spéciale) du test de proportionnalité, auquel cas nous parlons du test de proportionnalité en quatre étapes.</w:t>
      </w:r>
    </w:p>
    <w:p w14:paraId="6D41352D" w14:textId="77777777" w:rsidR="008F2AB7" w:rsidRPr="003A3218" w:rsidRDefault="0034233E"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Deux tendances </w:t>
      </w:r>
      <w:r>
        <w:rPr>
          <w:rFonts w:ascii="Times New Roman" w:hAnsi="Times New Roman"/>
          <w:sz w:val="24"/>
          <w:szCs w:val="24"/>
          <w:lang w:val="fr-FR"/>
        </w:rPr>
        <w:t>existent p</w:t>
      </w:r>
      <w:r w:rsidR="008F2AB7" w:rsidRPr="003A3218">
        <w:rPr>
          <w:rFonts w:ascii="Times New Roman" w:hAnsi="Times New Roman"/>
          <w:sz w:val="24"/>
          <w:szCs w:val="24"/>
          <w:lang w:val="fr-FR"/>
        </w:rPr>
        <w:t xml:space="preserve">armi les </w:t>
      </w:r>
      <w:r w:rsidR="00EA3CF6">
        <w:rPr>
          <w:rFonts w:ascii="Times New Roman" w:hAnsi="Times New Roman"/>
          <w:sz w:val="24"/>
          <w:szCs w:val="24"/>
          <w:lang w:val="fr-FR"/>
        </w:rPr>
        <w:t>tribunaux</w:t>
      </w:r>
      <w:r w:rsidR="008F2AB7" w:rsidRPr="003A3218">
        <w:rPr>
          <w:rFonts w:ascii="Times New Roman" w:hAnsi="Times New Roman"/>
          <w:sz w:val="24"/>
          <w:szCs w:val="24"/>
          <w:lang w:val="fr-FR"/>
        </w:rPr>
        <w:t xml:space="preserve"> qui ont apporté des réponses. La première catégorie de </w:t>
      </w:r>
      <w:r w:rsidR="00D470C2">
        <w:rPr>
          <w:rFonts w:ascii="Times New Roman" w:hAnsi="Times New Roman"/>
          <w:sz w:val="24"/>
          <w:szCs w:val="24"/>
          <w:lang w:val="fr-FR"/>
        </w:rPr>
        <w:t>tribunaux</w:t>
      </w:r>
      <w:r w:rsidR="00D470C2" w:rsidRPr="003A3218">
        <w:rPr>
          <w:rFonts w:ascii="Times New Roman" w:hAnsi="Times New Roman"/>
          <w:sz w:val="24"/>
          <w:szCs w:val="24"/>
          <w:lang w:val="fr-FR"/>
        </w:rPr>
        <w:t xml:space="preserve"> </w:t>
      </w:r>
      <w:r w:rsidR="008F2AB7" w:rsidRPr="003A3218">
        <w:rPr>
          <w:rFonts w:ascii="Times New Roman" w:hAnsi="Times New Roman"/>
          <w:sz w:val="24"/>
          <w:szCs w:val="24"/>
          <w:lang w:val="fr-FR"/>
        </w:rPr>
        <w:t>applique un test en quatre étapes. C’est le cas de la Cour allemande. Selon elle, l’ingérence dans les droits fondamentaux doit poursuivre un but légitime, être appropriée et nécessaire pour atteindre le but légitime et être proportionnée au sens strict. Lorsqu’elle examine si une ingérence est proportionnée au sens strict, la Cour allemande met en balance l’intensité de l’ingérence, l’importance du bien commun ou des intérêts constitutionnels concurrents et la mesure dans laquelle le bien commun bénéficierait de l’ingérence dans l’exercice du droit fondamental en question.</w:t>
      </w:r>
    </w:p>
    <w:p w14:paraId="79A1F20F"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La Cour suprême irlandaise utilise un test de proportionnalité adopté par la jurisprudence canadienne. Selon ce </w:t>
      </w:r>
      <w:r w:rsidR="00D470C2">
        <w:rPr>
          <w:rFonts w:ascii="Times New Roman" w:hAnsi="Times New Roman"/>
          <w:sz w:val="24"/>
          <w:szCs w:val="24"/>
          <w:lang w:val="fr-FR"/>
        </w:rPr>
        <w:t>test</w:t>
      </w:r>
      <w:r w:rsidRPr="003A3218">
        <w:rPr>
          <w:rFonts w:ascii="Times New Roman" w:hAnsi="Times New Roman"/>
          <w:sz w:val="24"/>
          <w:szCs w:val="24"/>
          <w:lang w:val="fr-FR"/>
        </w:rPr>
        <w:t xml:space="preserve">, « l’objectif de la disposition contestée doit être d’une importance suffisante pour justifier la suppression d’un droit protégé par la Constitution. Il doit être lié à des préoccupations urgentes et substantielles dans une société libre et démocratique. Les moyens choisis doivent être soumis à un test de proportionnalité. Ils doivent : être rationnellement liés à l’objectif et ne pas être arbitraires, </w:t>
      </w:r>
      <w:r w:rsidR="007C21A7" w:rsidRPr="007C21A7">
        <w:rPr>
          <w:rFonts w:ascii="Times New Roman" w:hAnsi="Times New Roman"/>
          <w:sz w:val="24"/>
          <w:szCs w:val="24"/>
          <w:lang w:val="fr-FR"/>
        </w:rPr>
        <w:t>inéquitable</w:t>
      </w:r>
      <w:r w:rsidR="007C21A7">
        <w:rPr>
          <w:rFonts w:ascii="Times New Roman" w:hAnsi="Times New Roman"/>
          <w:sz w:val="24"/>
          <w:szCs w:val="24"/>
          <w:lang w:val="fr-FR"/>
        </w:rPr>
        <w:t>s</w:t>
      </w:r>
      <w:r w:rsidR="007C21A7" w:rsidRPr="007C21A7">
        <w:rPr>
          <w:rFonts w:ascii="Times New Roman" w:hAnsi="Times New Roman"/>
          <w:sz w:val="24"/>
          <w:szCs w:val="24"/>
          <w:lang w:val="fr-FR"/>
        </w:rPr>
        <w:t xml:space="preserve"> </w:t>
      </w:r>
      <w:r w:rsidRPr="003A3218">
        <w:rPr>
          <w:rFonts w:ascii="Times New Roman" w:hAnsi="Times New Roman"/>
          <w:sz w:val="24"/>
          <w:szCs w:val="24"/>
          <w:lang w:val="fr-FR"/>
        </w:rPr>
        <w:t xml:space="preserve">ou fondés sur des considérations irrationnelles ; porter le moins possible atteinte au droit ; et leurs effets sur les droits doivent être proportionnés à l’objectif ». Le test de proportionnalité irlandais comporte quatre éléments : i) objectif légitime ; ii) lien rationnel ; iii) </w:t>
      </w:r>
      <w:r w:rsidR="007C21A7">
        <w:rPr>
          <w:rFonts w:ascii="Times New Roman" w:hAnsi="Times New Roman"/>
          <w:sz w:val="24"/>
          <w:szCs w:val="24"/>
          <w:lang w:val="fr-FR"/>
        </w:rPr>
        <w:t>ingérence</w:t>
      </w:r>
      <w:r w:rsidRPr="003A3218">
        <w:rPr>
          <w:rFonts w:ascii="Times New Roman" w:hAnsi="Times New Roman"/>
          <w:sz w:val="24"/>
          <w:szCs w:val="24"/>
          <w:lang w:val="fr-FR"/>
        </w:rPr>
        <w:t xml:space="preserve"> minimale </w:t>
      </w:r>
      <w:r w:rsidR="007C21A7">
        <w:rPr>
          <w:rFonts w:ascii="Times New Roman" w:hAnsi="Times New Roman"/>
          <w:sz w:val="24"/>
          <w:szCs w:val="24"/>
          <w:lang w:val="fr-FR"/>
        </w:rPr>
        <w:t xml:space="preserve">dans le </w:t>
      </w:r>
      <w:r w:rsidRPr="003A3218">
        <w:rPr>
          <w:rFonts w:ascii="Times New Roman" w:hAnsi="Times New Roman"/>
          <w:sz w:val="24"/>
          <w:szCs w:val="24"/>
          <w:lang w:val="fr-FR"/>
        </w:rPr>
        <w:t xml:space="preserve">droit ; et iv) équilibre général. </w:t>
      </w:r>
    </w:p>
    <w:p w14:paraId="54D02D3F"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color w:val="000000"/>
          <w:sz w:val="24"/>
          <w:szCs w:val="24"/>
          <w:u w:color="000000"/>
          <w:lang w:val="fr-FR" w:eastAsia="en-IE"/>
        </w:rPr>
        <w:t xml:space="preserve">Au contraire, la Cour constitutionnelle belge applique les trois étapes du test de proportionnalité, mais elles sont parfois indiscernables ou agrégées. Il n’y a pas de règle fixe, la Cour opère au cas par cas. La plupart du temps, la Cour va jusqu’à l’étape de la proportionnalité au sens strict et n’aborde pas les étapes précédentes ou procède à un contrôle léger. Toutefois, il y a eu de rares cas où la Cour belge a mis en évidence une question d’adéquation ou de nécessité. </w:t>
      </w:r>
    </w:p>
    <w:p w14:paraId="5164B735"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b/>
          <w:color w:val="000000"/>
          <w:sz w:val="24"/>
          <w:szCs w:val="24"/>
          <w:u w:color="000000"/>
          <w:lang w:val="fr-FR" w:eastAsia="en-IE"/>
        </w:rPr>
        <w:t>22.</w:t>
      </w:r>
      <w:r w:rsidRPr="003A3218">
        <w:rPr>
          <w:rFonts w:ascii="Times New Roman" w:hAnsi="Times New Roman"/>
          <w:color w:val="000000"/>
          <w:sz w:val="24"/>
          <w:szCs w:val="24"/>
          <w:u w:color="000000"/>
          <w:lang w:val="fr-FR" w:eastAsia="en-IE"/>
        </w:rPr>
        <w:t xml:space="preserve"> A la question de savoir si elle passe en revue chaque étape applicable du test de proportionnalité, la même Cour a répondu qu’elle rappelle habituellement au public lecteur l’existence des critères et leurs implications théoriques, mais que parfois des préoccupations de clarté exigent une approche moins rigide de la manière dont l’application réelle du test est présentée (par exemple, lorsque le test est appliqué plusieurs fois dans la même décision à l’égard de dispositions différentes).   </w:t>
      </w:r>
    </w:p>
    <w:p w14:paraId="1FD5469F"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color w:val="000000"/>
          <w:sz w:val="24"/>
          <w:szCs w:val="24"/>
          <w:u w:color="000000"/>
          <w:lang w:val="fr-FR" w:eastAsia="en-IE"/>
        </w:rPr>
        <w:t xml:space="preserve">La Cour portugaise, par exemple, s’est montrée de plus en plus prudente dans son utilisation de la troisième étape du test de proportionnalité, soulignant le respect </w:t>
      </w:r>
      <w:r w:rsidR="001B7E6B" w:rsidRPr="001B7E6B">
        <w:rPr>
          <w:rFonts w:ascii="Times New Roman" w:hAnsi="Times New Roman"/>
          <w:color w:val="000000"/>
          <w:sz w:val="24"/>
          <w:szCs w:val="24"/>
          <w:u w:color="000000"/>
          <w:lang w:val="fr-FR" w:eastAsia="en-IE"/>
        </w:rPr>
        <w:t xml:space="preserve">dû </w:t>
      </w:r>
      <w:r w:rsidR="001B7E6B">
        <w:rPr>
          <w:rFonts w:ascii="Times New Roman" w:hAnsi="Times New Roman"/>
          <w:color w:val="000000"/>
          <w:sz w:val="24"/>
          <w:szCs w:val="24"/>
          <w:u w:color="000000"/>
          <w:lang w:val="fr-FR" w:eastAsia="en-IE"/>
        </w:rPr>
        <w:t xml:space="preserve">pour </w:t>
      </w:r>
      <w:r w:rsidRPr="003A3218">
        <w:rPr>
          <w:rFonts w:ascii="Times New Roman" w:hAnsi="Times New Roman"/>
          <w:color w:val="000000"/>
          <w:sz w:val="24"/>
          <w:szCs w:val="24"/>
          <w:u w:color="000000"/>
          <w:lang w:val="fr-FR" w:eastAsia="en-IE"/>
        </w:rPr>
        <w:t xml:space="preserve">l’exercice par le législateur démocratiquement élu des pouvoirs qui lui sont conférés par la Constitution (en </w:t>
      </w:r>
      <w:r w:rsidRPr="003A3218">
        <w:rPr>
          <w:rFonts w:ascii="Times New Roman" w:hAnsi="Times New Roman"/>
          <w:color w:val="000000"/>
          <w:sz w:val="24"/>
          <w:szCs w:val="24"/>
          <w:u w:color="000000"/>
          <w:lang w:val="fr-FR" w:eastAsia="en-IE"/>
        </w:rPr>
        <w:lastRenderedPageBreak/>
        <w:t>particulier dans les procédures de contrôle abstrait). Toutefois, les raisons de cette prudence n’ont pas encore été clairement et systématiquement exposées dans sa jurisprudence.</w:t>
      </w:r>
    </w:p>
    <w:p w14:paraId="5402F77C"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color w:val="000000"/>
          <w:sz w:val="24"/>
          <w:szCs w:val="24"/>
          <w:u w:color="000000"/>
          <w:lang w:val="fr-FR" w:eastAsia="en-IE"/>
        </w:rPr>
        <w:t>La Cour autrichienne n’harmonise pas toujours son raisonnement avec le schéma classique et saute parfois certaines étapes du test. Elle affirme parfois qu’une disposition est proportionnée.</w:t>
      </w:r>
    </w:p>
    <w:p w14:paraId="10DD32F5"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color w:val="000000"/>
          <w:sz w:val="24"/>
          <w:szCs w:val="24"/>
          <w:u w:color="000000"/>
          <w:lang w:val="fr-FR" w:eastAsia="en-IE"/>
        </w:rPr>
        <w:t>La Cour constitutionnelle luxembourgeoise ne suit pas systématiquement chaque étape du test de proportionnalité. Dans sa pratique, deux approches se distinguent. La première consiste à appliquer le principe de constitutionnalité en tant que principe constitutionnel. Dans ce contexte, le test effectué par la Cour consiste en une « mise en balance » des droits et des objectifs de la loi ou, plus récemment, en une vérification du « juste équilibre » entre les droits protégés et les droits affectés par la loi. La seconde approche est appliquée dans le cadre des affaires concernant le principe d’égalité devant la loi. Dans ces cas, les juges constitutionnels s’assurent que la différence de traitement est fondée sur des disparités objectives et qu’elle est rationnellement justifiée, adaptée et proportionnée à son objet. Toutefois, dans ce second contexte, la Cour constitutionnelle de Luxembourg n’analyse pas toujours de manière exhaustive chaque étape du test de proportionnalité. Elle peut se concentrer sur certains aspects, selon les cas, sans nécessairement distinguer les trois étapes de manière explicite.</w:t>
      </w:r>
    </w:p>
    <w:p w14:paraId="10F88B7E" w14:textId="77777777" w:rsidR="008F2AB7" w:rsidRPr="003A3218" w:rsidRDefault="008F2AB7" w:rsidP="00201C1B">
      <w:pPr>
        <w:spacing w:line="276" w:lineRule="auto"/>
        <w:jc w:val="both"/>
        <w:rPr>
          <w:rFonts w:ascii="Times New Roman" w:hAnsi="Times New Roman"/>
          <w:color w:val="000000"/>
          <w:sz w:val="24"/>
          <w:szCs w:val="24"/>
          <w:u w:color="000000"/>
          <w:lang w:val="fr-FR" w:eastAsia="en-IE"/>
        </w:rPr>
      </w:pPr>
      <w:r w:rsidRPr="003A3218">
        <w:rPr>
          <w:rFonts w:ascii="Times New Roman" w:hAnsi="Times New Roman"/>
          <w:b/>
          <w:color w:val="000000"/>
          <w:sz w:val="24"/>
          <w:szCs w:val="24"/>
          <w:u w:color="000000"/>
          <w:lang w:val="fr-FR" w:eastAsia="en-IE"/>
        </w:rPr>
        <w:t>23.</w:t>
      </w:r>
      <w:r w:rsidRPr="003A3218">
        <w:rPr>
          <w:rFonts w:ascii="Times New Roman" w:hAnsi="Times New Roman"/>
          <w:color w:val="000000"/>
          <w:sz w:val="24"/>
          <w:szCs w:val="24"/>
          <w:u w:color="000000"/>
          <w:lang w:val="fr-FR" w:eastAsia="en-IE"/>
        </w:rPr>
        <w:t xml:space="preserve">  La question suivante visait à savoir si les </w:t>
      </w:r>
      <w:r w:rsidR="000F0DAA">
        <w:rPr>
          <w:rFonts w:ascii="Times New Roman" w:hAnsi="Times New Roman"/>
          <w:color w:val="000000"/>
          <w:sz w:val="24"/>
          <w:szCs w:val="24"/>
          <w:u w:color="000000"/>
          <w:lang w:val="fr-FR" w:eastAsia="en-IE"/>
        </w:rPr>
        <w:t>tribunaux</w:t>
      </w:r>
      <w:r w:rsidRPr="003A3218">
        <w:rPr>
          <w:rFonts w:ascii="Times New Roman" w:hAnsi="Times New Roman"/>
          <w:color w:val="000000"/>
          <w:sz w:val="24"/>
          <w:szCs w:val="24"/>
          <w:u w:color="000000"/>
          <w:lang w:val="fr-FR" w:eastAsia="en-IE"/>
        </w:rPr>
        <w:t xml:space="preserve"> acceptent que la mesure contestée satisfasse à une ou plusieurs étapes du test de proportionnalité même si, à leur avis, il</w:t>
      </w:r>
      <w:r w:rsidR="006C4C33">
        <w:rPr>
          <w:rFonts w:ascii="Times New Roman" w:hAnsi="Times New Roman"/>
          <w:color w:val="000000"/>
          <w:sz w:val="24"/>
          <w:szCs w:val="24"/>
          <w:u w:color="000000"/>
          <w:lang w:val="fr-FR" w:eastAsia="en-IE"/>
        </w:rPr>
        <w:t xml:space="preserve"> n’</w:t>
      </w:r>
      <w:r w:rsidRPr="003A3218">
        <w:rPr>
          <w:rFonts w:ascii="Times New Roman" w:hAnsi="Times New Roman"/>
          <w:color w:val="000000"/>
          <w:sz w:val="24"/>
          <w:szCs w:val="24"/>
          <w:u w:color="000000"/>
          <w:lang w:val="fr-FR" w:eastAsia="en-IE"/>
        </w:rPr>
        <w:t xml:space="preserve">y a pas </w:t>
      </w:r>
      <w:r w:rsidR="006C4C33">
        <w:rPr>
          <w:rFonts w:ascii="Times New Roman" w:hAnsi="Times New Roman"/>
          <w:color w:val="000000"/>
          <w:sz w:val="24"/>
          <w:szCs w:val="24"/>
          <w:u w:color="000000"/>
          <w:lang w:val="fr-FR" w:eastAsia="en-IE"/>
        </w:rPr>
        <w:t xml:space="preserve">de </w:t>
      </w:r>
      <w:r w:rsidR="006C4C33" w:rsidRPr="006C4C33">
        <w:rPr>
          <w:rFonts w:ascii="Times New Roman" w:hAnsi="Times New Roman"/>
          <w:color w:val="000000"/>
          <w:sz w:val="24"/>
          <w:szCs w:val="24"/>
          <w:u w:color="000000"/>
          <w:lang w:val="fr-FR" w:eastAsia="en-IE"/>
        </w:rPr>
        <w:t xml:space="preserve">preuves suffisantes </w:t>
      </w:r>
      <w:r w:rsidRPr="003A3218">
        <w:rPr>
          <w:rFonts w:ascii="Times New Roman" w:hAnsi="Times New Roman"/>
          <w:color w:val="000000"/>
          <w:sz w:val="24"/>
          <w:szCs w:val="24"/>
          <w:u w:color="000000"/>
          <w:lang w:val="fr-FR" w:eastAsia="en-IE"/>
        </w:rPr>
        <w:t xml:space="preserve">pour le démontrer. </w:t>
      </w:r>
    </w:p>
    <w:p w14:paraId="2A0C13E0"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u w:color="000000"/>
          <w:lang w:val="fr-FR" w:eastAsia="en-IE"/>
        </w:rPr>
        <w:t xml:space="preserve">Pour la Cour constitutionnelle fédérale allemande, lorsqu’un pronostic est nécessaire ou lorsque la certitude scientifique quant aux effets causaux pertinents est insuffisante, elle examine uniquement si les mesures méthodologiques prises par le législateur et les faits sur lesquels elles se fondent sont plausibles. Si tel est le cas, </w:t>
      </w:r>
      <w:r w:rsidR="003063E0">
        <w:rPr>
          <w:rFonts w:ascii="Times New Roman" w:hAnsi="Times New Roman"/>
          <w:color w:val="000000"/>
          <w:sz w:val="24"/>
          <w:szCs w:val="24"/>
          <w:u w:color="000000"/>
          <w:lang w:val="fr-FR" w:eastAsia="en-IE"/>
        </w:rPr>
        <w:t>l’ingérence</w:t>
      </w:r>
      <w:r w:rsidRPr="003A3218">
        <w:rPr>
          <w:rFonts w:ascii="Times New Roman" w:hAnsi="Times New Roman"/>
          <w:color w:val="000000"/>
          <w:sz w:val="24"/>
          <w:szCs w:val="24"/>
          <w:u w:color="000000"/>
          <w:lang w:val="fr-FR" w:eastAsia="en-IE"/>
        </w:rPr>
        <w:t xml:space="preserve"> </w:t>
      </w:r>
      <w:r w:rsidR="003063E0">
        <w:rPr>
          <w:rFonts w:ascii="Times New Roman" w:hAnsi="Times New Roman"/>
          <w:color w:val="000000"/>
          <w:sz w:val="24"/>
          <w:szCs w:val="24"/>
          <w:u w:color="000000"/>
          <w:lang w:val="fr-FR" w:eastAsia="en-IE"/>
        </w:rPr>
        <w:t xml:space="preserve">dans les </w:t>
      </w:r>
      <w:r w:rsidRPr="003A3218">
        <w:rPr>
          <w:rFonts w:ascii="Times New Roman" w:hAnsi="Times New Roman"/>
          <w:color w:val="000000"/>
          <w:sz w:val="24"/>
          <w:szCs w:val="24"/>
          <w:u w:color="000000"/>
          <w:lang w:val="fr-FR" w:eastAsia="en-IE"/>
        </w:rPr>
        <w:t xml:space="preserve">droits fondamentaux reste constitutionnelle, même s’il s’avère par la suite que l’appréciation du législateur était </w:t>
      </w:r>
      <w:r w:rsidR="003A35F3" w:rsidRPr="003A35F3">
        <w:rPr>
          <w:rFonts w:ascii="Times New Roman" w:hAnsi="Times New Roman"/>
          <w:color w:val="000000"/>
          <w:sz w:val="24"/>
          <w:szCs w:val="24"/>
          <w:u w:color="000000"/>
          <w:lang w:val="fr-FR" w:eastAsia="en-IE"/>
        </w:rPr>
        <w:t>incorrect</w:t>
      </w:r>
      <w:r w:rsidR="003A35F3">
        <w:rPr>
          <w:rFonts w:ascii="Times New Roman" w:hAnsi="Times New Roman"/>
          <w:color w:val="000000"/>
          <w:sz w:val="24"/>
          <w:szCs w:val="24"/>
          <w:u w:color="000000"/>
          <w:lang w:val="fr-FR" w:eastAsia="en-IE"/>
        </w:rPr>
        <w:t>e</w:t>
      </w:r>
      <w:r w:rsidRPr="003A3218">
        <w:rPr>
          <w:rFonts w:ascii="Times New Roman" w:hAnsi="Times New Roman"/>
          <w:color w:val="000000"/>
          <w:sz w:val="24"/>
          <w:szCs w:val="24"/>
          <w:u w:color="000000"/>
          <w:lang w:val="fr-FR" w:eastAsia="en-IE"/>
        </w:rPr>
        <w:t xml:space="preserve">. Un exemple pertinent dans ce contexte est celui des fermetures d’écoles pendant la pandémie de COVID-19. S’il s’avère que l’appréciation du législateur était </w:t>
      </w:r>
      <w:r w:rsidR="00E5727F" w:rsidRPr="003A35F3">
        <w:rPr>
          <w:rFonts w:ascii="Times New Roman" w:hAnsi="Times New Roman"/>
          <w:color w:val="000000"/>
          <w:sz w:val="24"/>
          <w:szCs w:val="24"/>
          <w:u w:color="000000"/>
          <w:lang w:val="fr-FR" w:eastAsia="en-IE"/>
        </w:rPr>
        <w:t>incorrect</w:t>
      </w:r>
      <w:r w:rsidR="00E5727F">
        <w:rPr>
          <w:rFonts w:ascii="Times New Roman" w:hAnsi="Times New Roman"/>
          <w:color w:val="000000"/>
          <w:sz w:val="24"/>
          <w:szCs w:val="24"/>
          <w:u w:color="000000"/>
          <w:lang w:val="fr-FR" w:eastAsia="en-IE"/>
        </w:rPr>
        <w:t>e</w:t>
      </w:r>
      <w:r w:rsidR="00E5727F" w:rsidRPr="003A3218">
        <w:rPr>
          <w:rFonts w:ascii="Times New Roman" w:hAnsi="Times New Roman"/>
          <w:color w:val="000000"/>
          <w:sz w:val="24"/>
          <w:szCs w:val="24"/>
          <w:u w:color="000000"/>
          <w:lang w:val="fr-FR" w:eastAsia="en-IE"/>
        </w:rPr>
        <w:t xml:space="preserve"> </w:t>
      </w:r>
      <w:r w:rsidRPr="003A3218">
        <w:rPr>
          <w:rFonts w:ascii="Times New Roman" w:hAnsi="Times New Roman"/>
          <w:color w:val="000000"/>
          <w:sz w:val="24"/>
          <w:szCs w:val="24"/>
          <w:u w:color="000000"/>
          <w:lang w:val="fr-FR" w:eastAsia="en-IE"/>
        </w:rPr>
        <w:t>à l’époque, celui-ci est tenu d’adapter les dispositions légales pour l’avenir. Le fait que le Parlement, en tant que pouvoir législatif, ait pour tâche de prendre des décisions dans des circonstances factuelles incertaines et sur la base de prévisions implique nécessairement que le législateur est autorisé à agir même s’il n’est pas certain que les développements ultérieurs confirmeront qu’il a agi correctement</w:t>
      </w:r>
      <w:r w:rsidRPr="003A3218">
        <w:rPr>
          <w:rFonts w:ascii="Times New Roman" w:hAnsi="Times New Roman"/>
          <w:color w:val="000000"/>
          <w:sz w:val="24"/>
          <w:szCs w:val="24"/>
          <w:lang w:val="fr-FR"/>
        </w:rPr>
        <w:t xml:space="preserve">. </w:t>
      </w:r>
    </w:p>
    <w:p w14:paraId="2C634D92"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De même, dans les cas où la Cour constitutionnelle de Slovénie passe directement à l’une des étapes suivantes du test de proportionnalité, la question de savoir si la mesure a franchi les étapes susmentionnées reste ouverte, mais il serait exagéré de prétendre que la Cour constitutionnelle a tacitement confirmé que la mesure a franchi ces étapes.</w:t>
      </w:r>
    </w:p>
    <w:p w14:paraId="78A3A1AB"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b/>
          <w:color w:val="000000"/>
          <w:sz w:val="24"/>
          <w:szCs w:val="24"/>
          <w:lang w:val="fr-FR"/>
        </w:rPr>
        <w:t xml:space="preserve">24. </w:t>
      </w:r>
      <w:r w:rsidRPr="003A3218">
        <w:rPr>
          <w:rFonts w:ascii="Times New Roman" w:hAnsi="Times New Roman"/>
          <w:color w:val="000000"/>
          <w:sz w:val="24"/>
          <w:szCs w:val="24"/>
          <w:lang w:val="fr-FR"/>
        </w:rPr>
        <w:t xml:space="preserve">L’une des questions portait sur l’évolution de la théorie de la déférence judiciaire. Il s’agissait de savoir si cette théorie était apparue en même temps que le </w:t>
      </w:r>
      <w:r w:rsidR="00A208E4">
        <w:rPr>
          <w:rFonts w:ascii="Times New Roman" w:hAnsi="Times New Roman"/>
          <w:color w:val="000000"/>
          <w:sz w:val="24"/>
          <w:szCs w:val="24"/>
          <w:lang w:val="fr-FR"/>
        </w:rPr>
        <w:t xml:space="preserve">test </w:t>
      </w:r>
      <w:r w:rsidRPr="003A3218">
        <w:rPr>
          <w:rFonts w:ascii="Times New Roman" w:hAnsi="Times New Roman"/>
          <w:color w:val="000000"/>
          <w:sz w:val="24"/>
          <w:szCs w:val="24"/>
          <w:lang w:val="fr-FR"/>
        </w:rPr>
        <w:t xml:space="preserve">de proportionnalité. En Italie, les deux </w:t>
      </w:r>
      <w:r w:rsidR="00D13231">
        <w:rPr>
          <w:rFonts w:ascii="Times New Roman" w:hAnsi="Times New Roman"/>
          <w:color w:val="000000"/>
          <w:sz w:val="24"/>
          <w:szCs w:val="24"/>
          <w:lang w:val="fr-FR"/>
        </w:rPr>
        <w:t xml:space="preserve">aspects </w:t>
      </w:r>
      <w:r w:rsidRPr="003A3218">
        <w:rPr>
          <w:rFonts w:ascii="Times New Roman" w:hAnsi="Times New Roman"/>
          <w:color w:val="000000"/>
          <w:sz w:val="24"/>
          <w:szCs w:val="24"/>
          <w:lang w:val="fr-FR"/>
        </w:rPr>
        <w:t xml:space="preserve">ont évolué de manière significative au cours des plus de soixante années d’existence de la Cour. Dans les premières années, la Cour a fait preuve d’une attitude particulièrement déférente à l’égard de la marge </w:t>
      </w:r>
      <w:r w:rsidR="001A576A">
        <w:rPr>
          <w:rFonts w:ascii="Times New Roman" w:hAnsi="Times New Roman"/>
          <w:color w:val="000000"/>
          <w:sz w:val="24"/>
          <w:szCs w:val="24"/>
          <w:lang w:val="fr-FR"/>
        </w:rPr>
        <w:t xml:space="preserve">discrétionnaire </w:t>
      </w:r>
      <w:r w:rsidRPr="003A3218">
        <w:rPr>
          <w:rFonts w:ascii="Times New Roman" w:hAnsi="Times New Roman"/>
          <w:color w:val="000000"/>
          <w:sz w:val="24"/>
          <w:szCs w:val="24"/>
          <w:lang w:val="fr-FR"/>
        </w:rPr>
        <w:t xml:space="preserve">du Parlement, fondée sur la nécessité implicite d’entrer avec prudence et ordre dans la dynamique institutionnelle, et aussi en raison de l’adoption de décisions d’irrecevabilité selon lesquelles les questions impliquaient des exercices d’équilibrage complexes et de multiples options à la disposition du législateur, au </w:t>
      </w:r>
      <w:r w:rsidRPr="003A3218">
        <w:rPr>
          <w:rFonts w:ascii="Times New Roman" w:hAnsi="Times New Roman"/>
          <w:color w:val="000000"/>
          <w:sz w:val="24"/>
          <w:szCs w:val="24"/>
          <w:lang w:val="fr-FR"/>
        </w:rPr>
        <w:lastRenderedPageBreak/>
        <w:t xml:space="preserve">mieux accompagnées de demandes ou d’avertissements au législateur d’intervenir pour remédier à des situations de constitutionnalité douteuse. La tendance à l’inertie du Parlement a certainement encouragé le développement progressif de </w:t>
      </w:r>
      <w:r w:rsidR="00F3660C">
        <w:rPr>
          <w:rFonts w:ascii="Times New Roman" w:hAnsi="Times New Roman"/>
          <w:color w:val="000000"/>
          <w:sz w:val="24"/>
          <w:szCs w:val="24"/>
          <w:lang w:val="fr-FR"/>
        </w:rPr>
        <w:t xml:space="preserve">certains </w:t>
      </w:r>
      <w:r w:rsidRPr="003A3218">
        <w:rPr>
          <w:rFonts w:ascii="Times New Roman" w:hAnsi="Times New Roman"/>
          <w:color w:val="000000"/>
          <w:sz w:val="24"/>
          <w:szCs w:val="24"/>
          <w:lang w:val="fr-FR"/>
        </w:rPr>
        <w:t xml:space="preserve">types de décisions de plus en plus sophistiqués, capables de maximiser l’étendue du contrôle constitutionnel au détriment de zones insoutenables d’inaccessibilité à l’abri de tout contrôle. Ainsi, depuis les années 1970, des décisions innovantes intégrant des déclarations de constitutionnalité « manipulatrices » ont été rendues. Fondées sur une distinction entre disposition et règle, ces décisions ont remédié à des omissions législatives, en s’appuyant sur des décisions « additives », y compris celles qui ont ajouté des principes directeurs plutôt que des règles, ou ont remplacé des règles jugées inconstitutionnelles par d’autres qui pouvaient être dérivées de la Constitution ou comme l’exigeait la Constitution et qui ont ensuite été énoncées dans le dispositif de la décision, en s’appuyant sur des décisions « substitutives ». </w:t>
      </w:r>
    </w:p>
    <w:p w14:paraId="387E0FD6"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En Irlande, l’émergence du test de proportionnalité a coïncidé avec l’émergence de la théorie de la déférence judiciaire. Il en va de même au Tribunal fédéral suisse, où le test de proportionnalité a effectivement coïncidé avec des exercices d’autolimitation.</w:t>
      </w:r>
    </w:p>
    <w:p w14:paraId="5732622D"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b/>
          <w:color w:val="000000"/>
          <w:sz w:val="24"/>
          <w:szCs w:val="24"/>
          <w:lang w:val="fr-FR"/>
        </w:rPr>
        <w:t>25.</w:t>
      </w:r>
      <w:r w:rsidRPr="003A3218">
        <w:rPr>
          <w:rFonts w:ascii="Times New Roman" w:hAnsi="Times New Roman"/>
          <w:color w:val="000000"/>
          <w:sz w:val="24"/>
          <w:szCs w:val="24"/>
          <w:lang w:val="fr-FR"/>
        </w:rPr>
        <w:t xml:space="preserve"> Pour la plupart des tribunaux, la jurisprudence de la CEDH a </w:t>
      </w:r>
      <w:r w:rsidR="00C57800">
        <w:rPr>
          <w:rFonts w:ascii="Times New Roman" w:hAnsi="Times New Roman"/>
          <w:color w:val="000000"/>
          <w:sz w:val="24"/>
          <w:szCs w:val="24"/>
          <w:lang w:val="fr-FR"/>
        </w:rPr>
        <w:t>mod</w:t>
      </w:r>
      <w:r w:rsidR="00B40910">
        <w:rPr>
          <w:rFonts w:ascii="Times New Roman" w:hAnsi="Times New Roman"/>
          <w:color w:val="000000"/>
          <w:sz w:val="24"/>
          <w:szCs w:val="24"/>
          <w:lang w:val="fr-FR"/>
        </w:rPr>
        <w:t>e</w:t>
      </w:r>
      <w:r w:rsidR="00C57800">
        <w:rPr>
          <w:rFonts w:ascii="Times New Roman" w:hAnsi="Times New Roman"/>
          <w:color w:val="000000"/>
          <w:sz w:val="24"/>
          <w:szCs w:val="24"/>
          <w:lang w:val="fr-FR"/>
        </w:rPr>
        <w:t>lé</w:t>
      </w:r>
      <w:r w:rsidRPr="003A3218">
        <w:rPr>
          <w:rFonts w:ascii="Times New Roman" w:hAnsi="Times New Roman"/>
          <w:color w:val="000000"/>
          <w:sz w:val="24"/>
          <w:szCs w:val="24"/>
          <w:lang w:val="fr-FR"/>
        </w:rPr>
        <w:t xml:space="preserve"> leur approche </w:t>
      </w:r>
      <w:r w:rsidR="00EE3285">
        <w:rPr>
          <w:rFonts w:ascii="Times New Roman" w:hAnsi="Times New Roman"/>
          <w:color w:val="000000"/>
          <w:sz w:val="24"/>
          <w:szCs w:val="24"/>
          <w:lang w:val="fr-FR"/>
        </w:rPr>
        <w:t>concernant la déférence</w:t>
      </w:r>
      <w:r w:rsidRPr="003A3218">
        <w:rPr>
          <w:rFonts w:ascii="Times New Roman" w:hAnsi="Times New Roman"/>
          <w:color w:val="000000"/>
          <w:sz w:val="24"/>
          <w:szCs w:val="24"/>
          <w:lang w:val="fr-FR"/>
        </w:rPr>
        <w:t xml:space="preserve">. En Allemagne, si la Cour européenne des droits de l’homme devait appliquer à l’ingérence de l’État un critère de contrôle plus strict que celui que la Cour constitutionnelle fédérale applique au législateur, cela amènerait probablement la Cour constitutionnelle fédérale à examiner sa propre jurisprudence en vue de l’adapter. Pour la Cour constitutionnelle fédérale, la théorie </w:t>
      </w:r>
      <w:r w:rsidR="00D14027" w:rsidRPr="003A3218">
        <w:rPr>
          <w:rFonts w:ascii="Times New Roman" w:hAnsi="Times New Roman"/>
          <w:color w:val="000000"/>
          <w:sz w:val="24"/>
          <w:szCs w:val="24"/>
          <w:lang w:val="fr-FR"/>
        </w:rPr>
        <w:t xml:space="preserve">de la CEDH </w:t>
      </w:r>
      <w:r w:rsidR="00D14027">
        <w:rPr>
          <w:rFonts w:ascii="Times New Roman" w:hAnsi="Times New Roman"/>
          <w:color w:val="000000"/>
          <w:sz w:val="24"/>
          <w:szCs w:val="24"/>
          <w:lang w:val="fr-FR"/>
        </w:rPr>
        <w:t xml:space="preserve">sur </w:t>
      </w:r>
      <w:r w:rsidRPr="003A3218">
        <w:rPr>
          <w:rFonts w:ascii="Times New Roman" w:hAnsi="Times New Roman"/>
          <w:color w:val="000000"/>
          <w:sz w:val="24"/>
          <w:szCs w:val="24"/>
          <w:lang w:val="fr-FR"/>
        </w:rPr>
        <w:t>la marge d’appréciation n’est pas entièrement équivalente sur le plan juridique à la marge d</w:t>
      </w:r>
      <w:r w:rsidR="00180375">
        <w:rPr>
          <w:rFonts w:ascii="Times New Roman" w:hAnsi="Times New Roman"/>
          <w:color w:val="000000"/>
          <w:sz w:val="24"/>
          <w:szCs w:val="24"/>
          <w:lang w:val="fr-FR"/>
        </w:rPr>
        <w:t xml:space="preserve">iscrétionnaire </w:t>
      </w:r>
      <w:r w:rsidRPr="003A3218">
        <w:rPr>
          <w:rFonts w:ascii="Times New Roman" w:hAnsi="Times New Roman"/>
          <w:color w:val="000000"/>
          <w:sz w:val="24"/>
          <w:szCs w:val="24"/>
          <w:lang w:val="fr-FR"/>
        </w:rPr>
        <w:t xml:space="preserve">que la Cour constitutionnelle fédérale accorde aux autorités nationales. Elle repose sur des points de vue différents. Pour déterminer la marge d’appréciation, la CEDH </w:t>
      </w:r>
      <w:r w:rsidR="00180375">
        <w:rPr>
          <w:rFonts w:ascii="Times New Roman" w:hAnsi="Times New Roman"/>
          <w:color w:val="000000"/>
          <w:sz w:val="24"/>
          <w:szCs w:val="24"/>
          <w:lang w:val="fr-FR"/>
        </w:rPr>
        <w:t xml:space="preserve">fait différence en fonction de </w:t>
      </w:r>
      <w:r w:rsidRPr="003A3218">
        <w:rPr>
          <w:rFonts w:ascii="Times New Roman" w:hAnsi="Times New Roman"/>
          <w:color w:val="000000"/>
          <w:sz w:val="24"/>
          <w:szCs w:val="24"/>
          <w:lang w:val="fr-FR"/>
        </w:rPr>
        <w:t xml:space="preserve">la pratique des États membres du Conseil de l’Europe. Alors que les États sont le point de référence </w:t>
      </w:r>
      <w:r w:rsidR="00E84B20">
        <w:rPr>
          <w:rFonts w:ascii="Times New Roman" w:hAnsi="Times New Roman"/>
          <w:color w:val="000000"/>
          <w:sz w:val="24"/>
          <w:szCs w:val="24"/>
          <w:lang w:val="fr-FR"/>
        </w:rPr>
        <w:t>pour</w:t>
      </w:r>
      <w:r w:rsidRPr="003A3218">
        <w:rPr>
          <w:rFonts w:ascii="Times New Roman" w:hAnsi="Times New Roman"/>
          <w:color w:val="000000"/>
          <w:sz w:val="24"/>
          <w:szCs w:val="24"/>
          <w:lang w:val="fr-FR"/>
        </w:rPr>
        <w:t xml:space="preserve"> la CEDH dans ce contexte, la Cour constitutionnelle fédérale se réfère aux autorités de l’État. Cependant, les critères de fond que la CEDH reconnaît lorsqu’elle offre une large marge d’appréciation peuvent, dans certains cas, être transférés à l’octroi d’un</w:t>
      </w:r>
      <w:r w:rsidR="00E84B20">
        <w:rPr>
          <w:rFonts w:ascii="Times New Roman" w:hAnsi="Times New Roman"/>
          <w:color w:val="000000"/>
          <w:sz w:val="24"/>
          <w:szCs w:val="24"/>
          <w:lang w:val="fr-FR"/>
        </w:rPr>
        <w:t>e</w:t>
      </w:r>
      <w:r w:rsidRPr="003A3218">
        <w:rPr>
          <w:rFonts w:ascii="Times New Roman" w:hAnsi="Times New Roman"/>
          <w:color w:val="000000"/>
          <w:sz w:val="24"/>
          <w:szCs w:val="24"/>
          <w:lang w:val="fr-FR"/>
        </w:rPr>
        <w:t xml:space="preserve"> </w:t>
      </w:r>
      <w:r w:rsidR="00E84B20" w:rsidRPr="003A3218">
        <w:rPr>
          <w:rFonts w:ascii="Times New Roman" w:hAnsi="Times New Roman"/>
          <w:color w:val="000000"/>
          <w:sz w:val="24"/>
          <w:szCs w:val="24"/>
          <w:lang w:val="fr-FR"/>
        </w:rPr>
        <w:t>marge d</w:t>
      </w:r>
      <w:r w:rsidR="00E84B20">
        <w:rPr>
          <w:rFonts w:ascii="Times New Roman" w:hAnsi="Times New Roman"/>
          <w:color w:val="000000"/>
          <w:sz w:val="24"/>
          <w:szCs w:val="24"/>
          <w:lang w:val="fr-FR"/>
        </w:rPr>
        <w:t xml:space="preserve">iscrétionnaire </w:t>
      </w:r>
      <w:r w:rsidRPr="003A3218">
        <w:rPr>
          <w:rFonts w:ascii="Times New Roman" w:hAnsi="Times New Roman"/>
          <w:color w:val="000000"/>
          <w:sz w:val="24"/>
          <w:szCs w:val="24"/>
          <w:lang w:val="fr-FR"/>
        </w:rPr>
        <w:t xml:space="preserve">aux autorités de l’État par la Cour constitutionnelle fédérale. </w:t>
      </w:r>
    </w:p>
    <w:p w14:paraId="42ED4598" w14:textId="77777777" w:rsidR="008F2AB7" w:rsidRPr="003A3218" w:rsidRDefault="008F2AB7" w:rsidP="00201C1B">
      <w:pPr>
        <w:spacing w:line="276" w:lineRule="auto"/>
        <w:jc w:val="both"/>
        <w:rPr>
          <w:rFonts w:ascii="Times New Roman" w:hAnsi="Times New Roman"/>
          <w:color w:val="000000"/>
          <w:sz w:val="24"/>
          <w:szCs w:val="24"/>
          <w:lang w:val="fr-FR"/>
        </w:rPr>
      </w:pPr>
      <w:r w:rsidRPr="003A3218">
        <w:rPr>
          <w:rFonts w:ascii="Times New Roman" w:hAnsi="Times New Roman"/>
          <w:color w:val="000000"/>
          <w:sz w:val="24"/>
          <w:szCs w:val="24"/>
          <w:lang w:val="fr-FR"/>
        </w:rPr>
        <w:t xml:space="preserve">Selon le Conseil constitutionnel français, les considérations relatives à la marge d’appréciation que la CEDH reconnaît aux autorités étatiques lorsqu’elle constate qu’elles remplissent leurs obligations au titre de la Convention, même si certaines similitudes conceptuelles abstraites peuvent être conçues, </w:t>
      </w:r>
      <w:r w:rsidRPr="006B171C">
        <w:rPr>
          <w:rFonts w:ascii="Times New Roman" w:hAnsi="Times New Roman"/>
          <w:i/>
          <w:color w:val="000000"/>
          <w:sz w:val="24"/>
          <w:szCs w:val="24"/>
          <w:lang w:val="fr-FR"/>
        </w:rPr>
        <w:t>mutatis mutandis</w:t>
      </w:r>
      <w:r w:rsidRPr="003A3218">
        <w:rPr>
          <w:rFonts w:ascii="Times New Roman" w:hAnsi="Times New Roman"/>
          <w:color w:val="000000"/>
          <w:sz w:val="24"/>
          <w:szCs w:val="24"/>
          <w:lang w:val="fr-FR"/>
        </w:rPr>
        <w:t xml:space="preserve">, avec le pouvoir d’appréciation et de décision que la Constitution et le Conseil constitutionnel ont reconnu au législateur national, il convient de souligner qu’il s’agit de considérations de nature différente, certaines relevant du droit international et d’autres du droit constitutionnel, de la séparation des pouvoirs et de l’exercice de la souveraineté nationale. </w:t>
      </w:r>
      <w:r w:rsidR="00E25AC2" w:rsidRPr="003A3218">
        <w:rPr>
          <w:rFonts w:ascii="Times New Roman" w:hAnsi="Times New Roman"/>
          <w:color w:val="000000"/>
          <w:sz w:val="24"/>
          <w:szCs w:val="24"/>
          <w:lang w:val="fr-FR"/>
        </w:rPr>
        <w:t xml:space="preserve"> </w:t>
      </w:r>
    </w:p>
    <w:p w14:paraId="2393AB9E"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color w:val="000000"/>
          <w:sz w:val="24"/>
          <w:szCs w:val="24"/>
          <w:lang w:val="fr-FR"/>
        </w:rPr>
        <w:t xml:space="preserve">La marge d’appréciation reconnue par la CEDH est égale à la marge </w:t>
      </w:r>
      <w:r w:rsidR="00D16460" w:rsidRPr="003A3218">
        <w:rPr>
          <w:rFonts w:ascii="Times New Roman" w:hAnsi="Times New Roman"/>
          <w:color w:val="000000"/>
          <w:sz w:val="24"/>
          <w:szCs w:val="24"/>
          <w:lang w:val="fr-FR"/>
        </w:rPr>
        <w:t>d</w:t>
      </w:r>
      <w:r w:rsidR="00D16460">
        <w:rPr>
          <w:rFonts w:ascii="Times New Roman" w:hAnsi="Times New Roman"/>
          <w:color w:val="000000"/>
          <w:sz w:val="24"/>
          <w:szCs w:val="24"/>
          <w:lang w:val="fr-FR"/>
        </w:rPr>
        <w:t xml:space="preserve">iscrétionnaire </w:t>
      </w:r>
      <w:r w:rsidRPr="003A3218">
        <w:rPr>
          <w:rFonts w:ascii="Times New Roman" w:hAnsi="Times New Roman"/>
          <w:color w:val="000000"/>
          <w:sz w:val="24"/>
          <w:szCs w:val="24"/>
          <w:lang w:val="fr-FR"/>
        </w:rPr>
        <w:t>reconnue par la Cour constitutionnelle de Macédoine du Nord lors de l’examen de la constitutionnalité et de la légalité des actes du législatif et de l’exécutif restreignant les libertés et les droits du citoyen, en particulier lors de l’application du test de proportionnalité, qui résulte directement de la jurisprudence de la CEDH</w:t>
      </w:r>
      <w:r w:rsidRPr="003A3218">
        <w:rPr>
          <w:rFonts w:ascii="Times New Roman" w:hAnsi="Times New Roman"/>
          <w:sz w:val="24"/>
          <w:szCs w:val="24"/>
          <w:lang w:val="fr-FR"/>
        </w:rPr>
        <w:t xml:space="preserve">. </w:t>
      </w:r>
    </w:p>
    <w:p w14:paraId="732B863E" w14:textId="77777777" w:rsidR="008F2AB7" w:rsidRPr="003A3218" w:rsidRDefault="008F2AB7" w:rsidP="00201C1B">
      <w:pPr>
        <w:spacing w:line="276" w:lineRule="auto"/>
        <w:jc w:val="both"/>
        <w:rPr>
          <w:rFonts w:ascii="Times New Roman" w:hAnsi="Times New Roman"/>
          <w:sz w:val="24"/>
          <w:szCs w:val="24"/>
          <w:lang w:val="fr-FR"/>
        </w:rPr>
      </w:pPr>
      <w:bookmarkStart w:id="2" w:name="_Hlk165037552"/>
      <w:r w:rsidRPr="003A3218">
        <w:rPr>
          <w:rFonts w:ascii="Times New Roman" w:hAnsi="Times New Roman"/>
          <w:sz w:val="24"/>
          <w:szCs w:val="24"/>
          <w:lang w:val="fr-FR"/>
        </w:rPr>
        <w:lastRenderedPageBreak/>
        <w:t xml:space="preserve">Pour la Cour constitutionnelle de Serbie, la jurisprudence de la CEDH sur la marge d’appréciation dont disposent les États dans des matières précises est essentiellement similaire, voire équivalente, à son approche du pouvoir discrétionnaire. </w:t>
      </w:r>
    </w:p>
    <w:p w14:paraId="67C9DB0D"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 xml:space="preserve">Mais pour la Cour suprême irlandaise ou la Cour constitutionnelle tchèque, la jurisprudence de la CEDH n’a pas </w:t>
      </w:r>
      <w:r w:rsidR="00D16460">
        <w:rPr>
          <w:rFonts w:ascii="Times New Roman" w:hAnsi="Times New Roman"/>
          <w:sz w:val="24"/>
          <w:szCs w:val="24"/>
          <w:lang w:val="fr-FR"/>
        </w:rPr>
        <w:t>modelé</w:t>
      </w:r>
      <w:r w:rsidRPr="003A3218">
        <w:rPr>
          <w:rFonts w:ascii="Times New Roman" w:hAnsi="Times New Roman"/>
          <w:sz w:val="24"/>
          <w:szCs w:val="24"/>
          <w:lang w:val="fr-FR"/>
        </w:rPr>
        <w:t xml:space="preserve"> leur approche de la déférence ou n’a pas eu d’impact significatif sur leur position en matière d’autolimitation ou de déférence. </w:t>
      </w:r>
    </w:p>
    <w:p w14:paraId="45E57C88" w14:textId="77777777" w:rsidR="008F2AB7" w:rsidRPr="003A3218" w:rsidRDefault="008F2AB7" w:rsidP="00201C1B">
      <w:pPr>
        <w:spacing w:line="276" w:lineRule="auto"/>
        <w:jc w:val="both"/>
        <w:rPr>
          <w:rFonts w:ascii="Times New Roman" w:hAnsi="Times New Roman"/>
          <w:sz w:val="24"/>
          <w:szCs w:val="24"/>
          <w:lang w:val="fr-FR"/>
        </w:rPr>
      </w:pPr>
      <w:r w:rsidRPr="003A3218">
        <w:rPr>
          <w:rFonts w:ascii="Times New Roman" w:hAnsi="Times New Roman"/>
          <w:sz w:val="24"/>
          <w:szCs w:val="24"/>
          <w:lang w:val="fr-FR"/>
        </w:rPr>
        <w:t>Nous sommes convaincus que les réponses données aux questions du questionnaire présentent des informations intéressantes pour les chercheurs qui se consacrent au thème de la déférence judiciaire. Pour de plus amples informations sur ce sujet, nous invitons le lecteur à consulter les ouvrages suivants.</w:t>
      </w:r>
      <w:bookmarkEnd w:id="2"/>
    </w:p>
    <w:sectPr w:rsidR="008F2AB7" w:rsidRPr="003A3218" w:rsidSect="005B134C">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847D" w14:textId="77777777" w:rsidR="00CE0FD1" w:rsidRDefault="00CE0FD1" w:rsidP="007A67CE">
      <w:pPr>
        <w:spacing w:after="0" w:line="240" w:lineRule="auto"/>
      </w:pPr>
      <w:r>
        <w:separator/>
      </w:r>
    </w:p>
  </w:endnote>
  <w:endnote w:type="continuationSeparator" w:id="0">
    <w:p w14:paraId="08C8E877" w14:textId="77777777" w:rsidR="00CE0FD1" w:rsidRDefault="00CE0FD1" w:rsidP="007A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4830" w14:textId="77777777" w:rsidR="00C35564" w:rsidRDefault="00C35564">
    <w:pPr>
      <w:pStyle w:val="Footer"/>
      <w:jc w:val="center"/>
    </w:pPr>
    <w:r>
      <w:fldChar w:fldCharType="begin"/>
    </w:r>
    <w:r>
      <w:instrText xml:space="preserve"> PAGE   \* MERGEFORMAT </w:instrText>
    </w:r>
    <w:r>
      <w:fldChar w:fldCharType="separate"/>
    </w:r>
    <w:r w:rsidR="00BB5683">
      <w:rPr>
        <w:noProof/>
      </w:rPr>
      <w:t>2</w:t>
    </w:r>
    <w:r w:rsidR="00BB5683">
      <w:rPr>
        <w:noProof/>
      </w:rPr>
      <w:t>0</w:t>
    </w:r>
    <w:r>
      <w:fldChar w:fldCharType="end"/>
    </w:r>
  </w:p>
  <w:p w14:paraId="585C08B7" w14:textId="77777777" w:rsidR="00C35564" w:rsidRDefault="00C3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9E2BB" w14:textId="77777777" w:rsidR="00CE0FD1" w:rsidRDefault="00CE0FD1" w:rsidP="007A67CE">
      <w:pPr>
        <w:spacing w:after="0" w:line="240" w:lineRule="auto"/>
      </w:pPr>
      <w:r>
        <w:separator/>
      </w:r>
    </w:p>
  </w:footnote>
  <w:footnote w:type="continuationSeparator" w:id="0">
    <w:p w14:paraId="00EC9043" w14:textId="77777777" w:rsidR="00CE0FD1" w:rsidRDefault="00CE0FD1" w:rsidP="007A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8399" w14:textId="77777777" w:rsidR="00C35564" w:rsidRDefault="00C35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208"/>
    <w:multiLevelType w:val="hybridMultilevel"/>
    <w:tmpl w:val="A9C2E22E"/>
    <w:styleLink w:val="ImportedStyle3"/>
    <w:lvl w:ilvl="0" w:tplc="832C9302">
      <w:start w:val="1"/>
      <w:numFmt w:val="lowerLetter"/>
      <w:lvlText w:val="(%1)"/>
      <w:lvlJc w:val="left"/>
      <w:pPr>
        <w:ind w:left="135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AD0B6E0">
      <w:start w:val="1"/>
      <w:numFmt w:val="lowerLetter"/>
      <w:lvlText w:val="%2."/>
      <w:lvlJc w:val="left"/>
      <w:pPr>
        <w:ind w:left="207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C08DA2">
      <w:start w:val="1"/>
      <w:numFmt w:val="lowerRoman"/>
      <w:lvlText w:val="%3."/>
      <w:lvlJc w:val="left"/>
      <w:pPr>
        <w:ind w:left="2793" w:hanging="313"/>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202EEA">
      <w:start w:val="1"/>
      <w:numFmt w:val="decimal"/>
      <w:lvlText w:val="%4."/>
      <w:lvlJc w:val="left"/>
      <w:pPr>
        <w:ind w:left="351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5FE9388">
      <w:start w:val="1"/>
      <w:numFmt w:val="lowerLetter"/>
      <w:lvlText w:val="%5."/>
      <w:lvlJc w:val="left"/>
      <w:pPr>
        <w:ind w:left="423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DBE0082">
      <w:start w:val="1"/>
      <w:numFmt w:val="lowerRoman"/>
      <w:lvlText w:val="%6."/>
      <w:lvlJc w:val="left"/>
      <w:pPr>
        <w:ind w:left="4953" w:hanging="313"/>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124ADE6">
      <w:start w:val="1"/>
      <w:numFmt w:val="decimal"/>
      <w:lvlText w:val="%7."/>
      <w:lvlJc w:val="left"/>
      <w:pPr>
        <w:ind w:left="567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7482F7E">
      <w:start w:val="1"/>
      <w:numFmt w:val="lowerLetter"/>
      <w:lvlText w:val="%8."/>
      <w:lvlJc w:val="left"/>
      <w:pPr>
        <w:ind w:left="6393"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50AB7D6">
      <w:start w:val="1"/>
      <w:numFmt w:val="lowerRoman"/>
      <w:lvlText w:val="%9."/>
      <w:lvlJc w:val="left"/>
      <w:pPr>
        <w:ind w:left="7113" w:hanging="313"/>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6DC5F02"/>
    <w:multiLevelType w:val="hybridMultilevel"/>
    <w:tmpl w:val="BF802AD0"/>
    <w:lvl w:ilvl="0" w:tplc="6F602550">
      <w:start w:val="5"/>
      <w:numFmt w:val="decimal"/>
      <w:lvlText w:val="%1."/>
      <w:lvlJc w:val="left"/>
      <w:pPr>
        <w:ind w:left="720" w:hanging="360"/>
      </w:pPr>
      <w:rPr>
        <w:rFonts w:ascii="Garamond" w:hAnsi="Garamond" w:cs="Times New Roman" w:hint="default"/>
        <w:color w:val="4472C4"/>
        <w:sz w:val="22"/>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2" w15:restartNumberingAfterBreak="0">
    <w:nsid w:val="165031FB"/>
    <w:multiLevelType w:val="hybridMultilevel"/>
    <w:tmpl w:val="6C0ED4F4"/>
    <w:lvl w:ilvl="0" w:tplc="0818000F">
      <w:start w:val="3"/>
      <w:numFmt w:val="decimal"/>
      <w:lvlText w:val="%1."/>
      <w:lvlJc w:val="left"/>
      <w:pPr>
        <w:ind w:left="720"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3" w15:restartNumberingAfterBreak="0">
    <w:nsid w:val="3A4D6DAF"/>
    <w:multiLevelType w:val="hybridMultilevel"/>
    <w:tmpl w:val="A32651E2"/>
    <w:lvl w:ilvl="0" w:tplc="0818000F">
      <w:start w:val="3"/>
      <w:numFmt w:val="decimal"/>
      <w:lvlText w:val="%1."/>
      <w:lvlJc w:val="left"/>
      <w:pPr>
        <w:ind w:left="720"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4" w15:restartNumberingAfterBreak="0">
    <w:nsid w:val="455766C8"/>
    <w:multiLevelType w:val="hybridMultilevel"/>
    <w:tmpl w:val="7400AC3A"/>
    <w:lvl w:ilvl="0" w:tplc="0818000F">
      <w:start w:val="6"/>
      <w:numFmt w:val="decimal"/>
      <w:lvlText w:val="%1."/>
      <w:lvlJc w:val="left"/>
      <w:pPr>
        <w:ind w:left="720"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5" w15:restartNumberingAfterBreak="0">
    <w:nsid w:val="45F9311E"/>
    <w:multiLevelType w:val="hybridMultilevel"/>
    <w:tmpl w:val="96060A10"/>
    <w:lvl w:ilvl="0" w:tplc="592EB5DE">
      <w:start w:val="1"/>
      <w:numFmt w:val="decimal"/>
      <w:lvlText w:val="%1."/>
      <w:lvlJc w:val="left"/>
      <w:pPr>
        <w:ind w:left="720" w:hanging="360"/>
      </w:pPr>
      <w:rPr>
        <w:rFonts w:ascii="Times New Roman" w:hAnsi="Times New Roman" w:cs="Times New Roman" w:hint="default"/>
        <w:color w:val="000000"/>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6" w15:restartNumberingAfterBreak="0">
    <w:nsid w:val="4A5B3CD9"/>
    <w:multiLevelType w:val="hybridMultilevel"/>
    <w:tmpl w:val="A9C2E22E"/>
    <w:numStyleLink w:val="ImportedStyle3"/>
  </w:abstractNum>
  <w:abstractNum w:abstractNumId="7" w15:restartNumberingAfterBreak="0">
    <w:nsid w:val="4EF717AC"/>
    <w:multiLevelType w:val="hybridMultilevel"/>
    <w:tmpl w:val="F5F6A8A6"/>
    <w:numStyleLink w:val="ImportierterStil10"/>
  </w:abstractNum>
  <w:abstractNum w:abstractNumId="8" w15:restartNumberingAfterBreak="0">
    <w:nsid w:val="569D1DF0"/>
    <w:multiLevelType w:val="hybridMultilevel"/>
    <w:tmpl w:val="3926C600"/>
    <w:lvl w:ilvl="0" w:tplc="0818000F">
      <w:start w:val="14"/>
      <w:numFmt w:val="decimal"/>
      <w:lvlText w:val="%1."/>
      <w:lvlJc w:val="left"/>
      <w:pPr>
        <w:ind w:left="720"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9" w15:restartNumberingAfterBreak="0">
    <w:nsid w:val="58AA3847"/>
    <w:multiLevelType w:val="hybridMultilevel"/>
    <w:tmpl w:val="D5220B84"/>
    <w:lvl w:ilvl="0" w:tplc="0818000F">
      <w:start w:val="11"/>
      <w:numFmt w:val="decimal"/>
      <w:lvlText w:val="%1."/>
      <w:lvlJc w:val="left"/>
      <w:pPr>
        <w:ind w:left="720" w:hanging="360"/>
      </w:pPr>
      <w:rPr>
        <w:rFonts w:cs="Times New Roman" w:hint="default"/>
        <w:b w:val="0"/>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10" w15:restartNumberingAfterBreak="0">
    <w:nsid w:val="6DAF124C"/>
    <w:multiLevelType w:val="hybridMultilevel"/>
    <w:tmpl w:val="D3F2806A"/>
    <w:lvl w:ilvl="0" w:tplc="F260FB1A">
      <w:start w:val="4"/>
      <w:numFmt w:val="decimal"/>
      <w:lvlText w:val="%1."/>
      <w:lvlJc w:val="left"/>
      <w:pPr>
        <w:ind w:left="720" w:hanging="360"/>
      </w:pPr>
      <w:rPr>
        <w:rFonts w:cs="Times New Roman" w:hint="default"/>
        <w:color w:val="auto"/>
        <w:sz w:val="22"/>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11" w15:restartNumberingAfterBreak="0">
    <w:nsid w:val="717451DC"/>
    <w:multiLevelType w:val="hybridMultilevel"/>
    <w:tmpl w:val="8D902F8C"/>
    <w:lvl w:ilvl="0" w:tplc="223241B0">
      <w:numFmt w:val="bullet"/>
      <w:lvlText w:val="-"/>
      <w:lvlJc w:val="left"/>
      <w:pPr>
        <w:ind w:left="720" w:hanging="360"/>
      </w:pPr>
      <w:rPr>
        <w:rFonts w:ascii="Calibri" w:eastAsia="Times New Roman" w:hAnsi="Calibri"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2" w15:restartNumberingAfterBreak="0">
    <w:nsid w:val="75690809"/>
    <w:multiLevelType w:val="hybridMultilevel"/>
    <w:tmpl w:val="F2124844"/>
    <w:lvl w:ilvl="0" w:tplc="ABC2E456">
      <w:start w:val="1"/>
      <w:numFmt w:val="decimal"/>
      <w:lvlText w:val="%1."/>
      <w:lvlJc w:val="left"/>
      <w:pPr>
        <w:ind w:left="720" w:hanging="360"/>
      </w:pPr>
      <w:rPr>
        <w:rFonts w:cs="Times New Roman" w:hint="default"/>
        <w:b/>
        <w:bCs/>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13" w15:restartNumberingAfterBreak="0">
    <w:nsid w:val="76927FCD"/>
    <w:multiLevelType w:val="hybridMultilevel"/>
    <w:tmpl w:val="D310A1E0"/>
    <w:lvl w:ilvl="0" w:tplc="207EEBF0">
      <w:numFmt w:val="bullet"/>
      <w:lvlText w:val="-"/>
      <w:lvlJc w:val="left"/>
      <w:pPr>
        <w:ind w:left="720" w:hanging="360"/>
      </w:pPr>
      <w:rPr>
        <w:rFonts w:ascii="Calibri" w:eastAsia="Times New Roman" w:hAnsi="Calibri"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4" w15:restartNumberingAfterBreak="0">
    <w:nsid w:val="7C9774AA"/>
    <w:multiLevelType w:val="hybridMultilevel"/>
    <w:tmpl w:val="F5F6A8A6"/>
    <w:styleLink w:val="ImportierterStil10"/>
    <w:lvl w:ilvl="0" w:tplc="781684EC">
      <w:start w:val="1"/>
      <w:numFmt w:val="lowerLetter"/>
      <w:lvlText w:val="%1)"/>
      <w:lvlJc w:val="left"/>
      <w:pPr>
        <w:ind w:left="997" w:hanging="43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2188F30">
      <w:start w:val="1"/>
      <w:numFmt w:val="lowerLetter"/>
      <w:lvlText w:val="%2."/>
      <w:lvlJc w:val="left"/>
      <w:pPr>
        <w:ind w:left="650" w:hanging="650"/>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CF21186">
      <w:start w:val="1"/>
      <w:numFmt w:val="lowerRoman"/>
      <w:lvlText w:val="%3."/>
      <w:lvlJc w:val="left"/>
      <w:pPr>
        <w:ind w:left="1375" w:hanging="595"/>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694C2AC">
      <w:start w:val="1"/>
      <w:numFmt w:val="decimal"/>
      <w:lvlText w:val="%4."/>
      <w:lvlJc w:val="left"/>
      <w:pPr>
        <w:ind w:left="2090" w:hanging="650"/>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19A8722">
      <w:start w:val="1"/>
      <w:numFmt w:val="lowerLetter"/>
      <w:lvlText w:val="%5."/>
      <w:lvlJc w:val="left"/>
      <w:pPr>
        <w:ind w:left="2810" w:hanging="650"/>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6B843E8">
      <w:start w:val="1"/>
      <w:numFmt w:val="lowerRoman"/>
      <w:lvlText w:val="%6."/>
      <w:lvlJc w:val="left"/>
      <w:pPr>
        <w:ind w:left="3535" w:hanging="595"/>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E9C8AF6">
      <w:start w:val="1"/>
      <w:numFmt w:val="decimal"/>
      <w:lvlText w:val="%7."/>
      <w:lvlJc w:val="left"/>
      <w:pPr>
        <w:ind w:left="4250" w:hanging="650"/>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B5ECB3E">
      <w:start w:val="1"/>
      <w:numFmt w:val="lowerLetter"/>
      <w:lvlText w:val="%8."/>
      <w:lvlJc w:val="left"/>
      <w:pPr>
        <w:ind w:left="4970" w:hanging="650"/>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9200290">
      <w:start w:val="1"/>
      <w:numFmt w:val="lowerRoman"/>
      <w:lvlText w:val="%9."/>
      <w:lvlJc w:val="left"/>
      <w:pPr>
        <w:ind w:left="5695" w:hanging="595"/>
      </w:pPr>
      <w:rPr>
        <w:rFonts w:hAnsi="Arial Unicode MS" w:cs="Times New Roman"/>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7F3F6342"/>
    <w:multiLevelType w:val="hybridMultilevel"/>
    <w:tmpl w:val="7B306A5E"/>
    <w:lvl w:ilvl="0" w:tplc="7214E1BC">
      <w:start w:val="1"/>
      <w:numFmt w:val="upperRoman"/>
      <w:lvlText w:val="%1."/>
      <w:lvlJc w:val="left"/>
      <w:pPr>
        <w:ind w:left="1080" w:hanging="72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2880" w:hanging="360"/>
      </w:pPr>
      <w:rPr>
        <w:rFonts w:cs="Times New Roman"/>
      </w:rPr>
    </w:lvl>
    <w:lvl w:ilvl="4" w:tplc="08180019">
      <w:start w:val="1"/>
      <w:numFmt w:val="lowerLetter"/>
      <w:lvlText w:val="%5."/>
      <w:lvlJc w:val="left"/>
      <w:pPr>
        <w:ind w:left="3600"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5040"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num w:numId="1" w16cid:durableId="1910269541">
    <w:abstractNumId w:val="13"/>
  </w:num>
  <w:num w:numId="2" w16cid:durableId="19670708">
    <w:abstractNumId w:val="11"/>
  </w:num>
  <w:num w:numId="3" w16cid:durableId="101994332">
    <w:abstractNumId w:val="12"/>
  </w:num>
  <w:num w:numId="4" w16cid:durableId="1253247645">
    <w:abstractNumId w:val="15"/>
  </w:num>
  <w:num w:numId="5" w16cid:durableId="1360662163">
    <w:abstractNumId w:val="0"/>
  </w:num>
  <w:num w:numId="6" w16cid:durableId="1660234065">
    <w:abstractNumId w:val="6"/>
  </w:num>
  <w:num w:numId="7" w16cid:durableId="1271862404">
    <w:abstractNumId w:val="14"/>
  </w:num>
  <w:num w:numId="8" w16cid:durableId="1178689528">
    <w:abstractNumId w:val="7"/>
    <w:lvlOverride w:ilvl="0">
      <w:lvl w:ilvl="0" w:tplc="330489CA">
        <w:start w:val="1"/>
        <w:numFmt w:val="lowerLetter"/>
        <w:lvlText w:val="%1)"/>
        <w:lvlJc w:val="left"/>
        <w:pPr>
          <w:ind w:left="997" w:hanging="43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9258CBAA">
        <w:start w:val="1"/>
        <w:numFmt w:val="lowerLetter"/>
        <w:lvlText w:val="%2."/>
        <w:lvlJc w:val="left"/>
        <w:pPr>
          <w:ind w:left="709" w:hanging="70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F126DD72">
        <w:start w:val="1"/>
        <w:numFmt w:val="lowerRoman"/>
        <w:lvlText w:val="%3."/>
        <w:lvlJc w:val="left"/>
        <w:pPr>
          <w:ind w:left="1429" w:hanging="64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17E02B48">
        <w:start w:val="1"/>
        <w:numFmt w:val="decimal"/>
        <w:lvlText w:val="%4."/>
        <w:lvlJc w:val="left"/>
        <w:pPr>
          <w:ind w:left="2149" w:hanging="70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EE40C118">
        <w:start w:val="1"/>
        <w:numFmt w:val="lowerLetter"/>
        <w:lvlText w:val="%5."/>
        <w:lvlJc w:val="left"/>
        <w:pPr>
          <w:ind w:left="2869" w:hanging="70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2E9A4A2C">
        <w:start w:val="1"/>
        <w:numFmt w:val="lowerRoman"/>
        <w:lvlText w:val="%6."/>
        <w:lvlJc w:val="left"/>
        <w:pPr>
          <w:ind w:left="3589" w:hanging="64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CDCCBA1A">
        <w:start w:val="1"/>
        <w:numFmt w:val="decimal"/>
        <w:lvlText w:val="%7."/>
        <w:lvlJc w:val="left"/>
        <w:pPr>
          <w:ind w:left="4309" w:hanging="70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F5207BA2">
        <w:start w:val="1"/>
        <w:numFmt w:val="lowerLetter"/>
        <w:lvlText w:val="%8."/>
        <w:lvlJc w:val="left"/>
        <w:pPr>
          <w:ind w:left="5029" w:hanging="709"/>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7E560FC2">
        <w:start w:val="1"/>
        <w:numFmt w:val="lowerRoman"/>
        <w:lvlText w:val="%9."/>
        <w:lvlJc w:val="left"/>
        <w:pPr>
          <w:ind w:left="5749" w:hanging="649"/>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9" w16cid:durableId="1700620525">
    <w:abstractNumId w:val="5"/>
  </w:num>
  <w:num w:numId="10" w16cid:durableId="316157445">
    <w:abstractNumId w:val="2"/>
  </w:num>
  <w:num w:numId="11" w16cid:durableId="583606681">
    <w:abstractNumId w:val="3"/>
  </w:num>
  <w:num w:numId="12" w16cid:durableId="328563735">
    <w:abstractNumId w:val="10"/>
  </w:num>
  <w:num w:numId="13" w16cid:durableId="1473862956">
    <w:abstractNumId w:val="1"/>
  </w:num>
  <w:num w:numId="14" w16cid:durableId="599721504">
    <w:abstractNumId w:val="4"/>
  </w:num>
  <w:num w:numId="15" w16cid:durableId="564873161">
    <w:abstractNumId w:val="9"/>
  </w:num>
  <w:num w:numId="16" w16cid:durableId="808980659">
    <w:abstractNumId w:val="8"/>
  </w:num>
  <w:num w:numId="17" w16cid:durableId="1295790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0A"/>
    <w:rsid w:val="00002524"/>
    <w:rsid w:val="00005A78"/>
    <w:rsid w:val="00005AA9"/>
    <w:rsid w:val="00014B43"/>
    <w:rsid w:val="00014F2C"/>
    <w:rsid w:val="00021971"/>
    <w:rsid w:val="00022DF3"/>
    <w:rsid w:val="00022F74"/>
    <w:rsid w:val="00022FA9"/>
    <w:rsid w:val="000253D5"/>
    <w:rsid w:val="00025E99"/>
    <w:rsid w:val="00037171"/>
    <w:rsid w:val="00046972"/>
    <w:rsid w:val="000536DB"/>
    <w:rsid w:val="00054512"/>
    <w:rsid w:val="0006299D"/>
    <w:rsid w:val="0006593E"/>
    <w:rsid w:val="00066EC9"/>
    <w:rsid w:val="000709DA"/>
    <w:rsid w:val="00073C3A"/>
    <w:rsid w:val="00076359"/>
    <w:rsid w:val="0008090B"/>
    <w:rsid w:val="00081CB6"/>
    <w:rsid w:val="00082E0A"/>
    <w:rsid w:val="000854A4"/>
    <w:rsid w:val="00090AD3"/>
    <w:rsid w:val="000B1843"/>
    <w:rsid w:val="000B6DF9"/>
    <w:rsid w:val="000C0598"/>
    <w:rsid w:val="000C75CB"/>
    <w:rsid w:val="000D60CD"/>
    <w:rsid w:val="000E2D24"/>
    <w:rsid w:val="000E7EA6"/>
    <w:rsid w:val="000F0DAA"/>
    <w:rsid w:val="000F2697"/>
    <w:rsid w:val="000F6E24"/>
    <w:rsid w:val="001060D8"/>
    <w:rsid w:val="00106676"/>
    <w:rsid w:val="00107087"/>
    <w:rsid w:val="00111854"/>
    <w:rsid w:val="00112C82"/>
    <w:rsid w:val="00113735"/>
    <w:rsid w:val="00113F67"/>
    <w:rsid w:val="001140DF"/>
    <w:rsid w:val="00116DCA"/>
    <w:rsid w:val="00121AAF"/>
    <w:rsid w:val="00121C8A"/>
    <w:rsid w:val="00127D3B"/>
    <w:rsid w:val="00130FC2"/>
    <w:rsid w:val="001363BD"/>
    <w:rsid w:val="00142753"/>
    <w:rsid w:val="0014531A"/>
    <w:rsid w:val="00160231"/>
    <w:rsid w:val="001644DA"/>
    <w:rsid w:val="0016591E"/>
    <w:rsid w:val="00170ACE"/>
    <w:rsid w:val="001716F6"/>
    <w:rsid w:val="00180375"/>
    <w:rsid w:val="001825AE"/>
    <w:rsid w:val="00186700"/>
    <w:rsid w:val="00187843"/>
    <w:rsid w:val="00190BC5"/>
    <w:rsid w:val="00191220"/>
    <w:rsid w:val="00197D97"/>
    <w:rsid w:val="001A4CD1"/>
    <w:rsid w:val="001A576A"/>
    <w:rsid w:val="001B66EF"/>
    <w:rsid w:val="001B7E6B"/>
    <w:rsid w:val="001C1B6F"/>
    <w:rsid w:val="001C71E9"/>
    <w:rsid w:val="001D5A8F"/>
    <w:rsid w:val="001D715D"/>
    <w:rsid w:val="001E2DD7"/>
    <w:rsid w:val="001E35A1"/>
    <w:rsid w:val="001F43D4"/>
    <w:rsid w:val="001F483B"/>
    <w:rsid w:val="001F7A72"/>
    <w:rsid w:val="00201C1B"/>
    <w:rsid w:val="00203727"/>
    <w:rsid w:val="00210710"/>
    <w:rsid w:val="002107F7"/>
    <w:rsid w:val="002173D6"/>
    <w:rsid w:val="00217B23"/>
    <w:rsid w:val="002241CB"/>
    <w:rsid w:val="00225909"/>
    <w:rsid w:val="00232325"/>
    <w:rsid w:val="00234721"/>
    <w:rsid w:val="00234AC5"/>
    <w:rsid w:val="002437A6"/>
    <w:rsid w:val="00246FF2"/>
    <w:rsid w:val="00252082"/>
    <w:rsid w:val="00252A12"/>
    <w:rsid w:val="00257579"/>
    <w:rsid w:val="002577E2"/>
    <w:rsid w:val="00260D1E"/>
    <w:rsid w:val="0026469F"/>
    <w:rsid w:val="002662F7"/>
    <w:rsid w:val="00275907"/>
    <w:rsid w:val="00275E0D"/>
    <w:rsid w:val="002777A9"/>
    <w:rsid w:val="002856A1"/>
    <w:rsid w:val="00290551"/>
    <w:rsid w:val="00294981"/>
    <w:rsid w:val="00296A05"/>
    <w:rsid w:val="002A3959"/>
    <w:rsid w:val="002A76A6"/>
    <w:rsid w:val="002B45F4"/>
    <w:rsid w:val="002C2DC4"/>
    <w:rsid w:val="002C5BA1"/>
    <w:rsid w:val="002C5FF6"/>
    <w:rsid w:val="002D37E7"/>
    <w:rsid w:val="002D737D"/>
    <w:rsid w:val="002E374F"/>
    <w:rsid w:val="002E4318"/>
    <w:rsid w:val="002E5001"/>
    <w:rsid w:val="002F2714"/>
    <w:rsid w:val="003001E5"/>
    <w:rsid w:val="00302812"/>
    <w:rsid w:val="00302972"/>
    <w:rsid w:val="003063E0"/>
    <w:rsid w:val="00307096"/>
    <w:rsid w:val="003105E1"/>
    <w:rsid w:val="00312A8F"/>
    <w:rsid w:val="00324096"/>
    <w:rsid w:val="00325866"/>
    <w:rsid w:val="0034233E"/>
    <w:rsid w:val="0034253E"/>
    <w:rsid w:val="00345A4B"/>
    <w:rsid w:val="00347F3C"/>
    <w:rsid w:val="00350A97"/>
    <w:rsid w:val="003749AD"/>
    <w:rsid w:val="0037614D"/>
    <w:rsid w:val="0038711A"/>
    <w:rsid w:val="003907AF"/>
    <w:rsid w:val="003A0603"/>
    <w:rsid w:val="003A3218"/>
    <w:rsid w:val="003A35F3"/>
    <w:rsid w:val="003A4881"/>
    <w:rsid w:val="003B215D"/>
    <w:rsid w:val="003B4B9A"/>
    <w:rsid w:val="003C3236"/>
    <w:rsid w:val="003C5867"/>
    <w:rsid w:val="003D0275"/>
    <w:rsid w:val="003D744A"/>
    <w:rsid w:val="003E0573"/>
    <w:rsid w:val="003E3579"/>
    <w:rsid w:val="003E55FB"/>
    <w:rsid w:val="003E7E48"/>
    <w:rsid w:val="003F5F68"/>
    <w:rsid w:val="003F775A"/>
    <w:rsid w:val="00403694"/>
    <w:rsid w:val="004079E7"/>
    <w:rsid w:val="004105B9"/>
    <w:rsid w:val="00410756"/>
    <w:rsid w:val="00415DC2"/>
    <w:rsid w:val="0041712D"/>
    <w:rsid w:val="0041733D"/>
    <w:rsid w:val="00424643"/>
    <w:rsid w:val="0042625E"/>
    <w:rsid w:val="00426EAD"/>
    <w:rsid w:val="00434A9B"/>
    <w:rsid w:val="00444F75"/>
    <w:rsid w:val="00447422"/>
    <w:rsid w:val="0046248D"/>
    <w:rsid w:val="00463EC4"/>
    <w:rsid w:val="00464AA2"/>
    <w:rsid w:val="0047465E"/>
    <w:rsid w:val="00474CC7"/>
    <w:rsid w:val="00475D12"/>
    <w:rsid w:val="00483385"/>
    <w:rsid w:val="004852B4"/>
    <w:rsid w:val="0048790A"/>
    <w:rsid w:val="004930E2"/>
    <w:rsid w:val="004961B1"/>
    <w:rsid w:val="00497E59"/>
    <w:rsid w:val="004A0C14"/>
    <w:rsid w:val="004A2BCF"/>
    <w:rsid w:val="004A34C4"/>
    <w:rsid w:val="004A7BF2"/>
    <w:rsid w:val="004B2155"/>
    <w:rsid w:val="004B540D"/>
    <w:rsid w:val="004C7788"/>
    <w:rsid w:val="004C7E20"/>
    <w:rsid w:val="004D0224"/>
    <w:rsid w:val="004D1B6E"/>
    <w:rsid w:val="004D4159"/>
    <w:rsid w:val="004E0237"/>
    <w:rsid w:val="004E2008"/>
    <w:rsid w:val="004E402C"/>
    <w:rsid w:val="004E4F1F"/>
    <w:rsid w:val="004E6A3E"/>
    <w:rsid w:val="004E784B"/>
    <w:rsid w:val="004F0F5E"/>
    <w:rsid w:val="004F25EA"/>
    <w:rsid w:val="004F3E66"/>
    <w:rsid w:val="004F7117"/>
    <w:rsid w:val="00506C6A"/>
    <w:rsid w:val="0051764A"/>
    <w:rsid w:val="00517DAA"/>
    <w:rsid w:val="00526747"/>
    <w:rsid w:val="00527440"/>
    <w:rsid w:val="0053004F"/>
    <w:rsid w:val="005416E3"/>
    <w:rsid w:val="00552853"/>
    <w:rsid w:val="00555106"/>
    <w:rsid w:val="005577FD"/>
    <w:rsid w:val="00562449"/>
    <w:rsid w:val="0056791C"/>
    <w:rsid w:val="00582A01"/>
    <w:rsid w:val="005831DC"/>
    <w:rsid w:val="00586973"/>
    <w:rsid w:val="005922F9"/>
    <w:rsid w:val="005927B4"/>
    <w:rsid w:val="005934C7"/>
    <w:rsid w:val="005A10A3"/>
    <w:rsid w:val="005A559B"/>
    <w:rsid w:val="005B02F4"/>
    <w:rsid w:val="005B134C"/>
    <w:rsid w:val="005B276E"/>
    <w:rsid w:val="005C0BF7"/>
    <w:rsid w:val="005C3017"/>
    <w:rsid w:val="005C6B49"/>
    <w:rsid w:val="005D3834"/>
    <w:rsid w:val="005E1892"/>
    <w:rsid w:val="005E2885"/>
    <w:rsid w:val="005E310A"/>
    <w:rsid w:val="005F3E69"/>
    <w:rsid w:val="00600C25"/>
    <w:rsid w:val="00602DD2"/>
    <w:rsid w:val="006115E8"/>
    <w:rsid w:val="00611EDC"/>
    <w:rsid w:val="0061331A"/>
    <w:rsid w:val="00616344"/>
    <w:rsid w:val="0062200D"/>
    <w:rsid w:val="0062419B"/>
    <w:rsid w:val="00625240"/>
    <w:rsid w:val="00627A0E"/>
    <w:rsid w:val="00631B0A"/>
    <w:rsid w:val="00635110"/>
    <w:rsid w:val="006371DF"/>
    <w:rsid w:val="00637CD7"/>
    <w:rsid w:val="00641B1D"/>
    <w:rsid w:val="0065062E"/>
    <w:rsid w:val="0065164E"/>
    <w:rsid w:val="00653876"/>
    <w:rsid w:val="006601CC"/>
    <w:rsid w:val="00660E65"/>
    <w:rsid w:val="00661C25"/>
    <w:rsid w:val="006620A5"/>
    <w:rsid w:val="00663F7E"/>
    <w:rsid w:val="00666F93"/>
    <w:rsid w:val="00671C11"/>
    <w:rsid w:val="00673898"/>
    <w:rsid w:val="00685578"/>
    <w:rsid w:val="0069065C"/>
    <w:rsid w:val="006A0656"/>
    <w:rsid w:val="006A20B3"/>
    <w:rsid w:val="006A22F9"/>
    <w:rsid w:val="006A2888"/>
    <w:rsid w:val="006A4F65"/>
    <w:rsid w:val="006B171C"/>
    <w:rsid w:val="006B35CB"/>
    <w:rsid w:val="006B3840"/>
    <w:rsid w:val="006B4E34"/>
    <w:rsid w:val="006C025F"/>
    <w:rsid w:val="006C1AD5"/>
    <w:rsid w:val="006C3E3A"/>
    <w:rsid w:val="006C4C33"/>
    <w:rsid w:val="006C54F8"/>
    <w:rsid w:val="006D5DDC"/>
    <w:rsid w:val="006E555F"/>
    <w:rsid w:val="006F0517"/>
    <w:rsid w:val="006F1E7C"/>
    <w:rsid w:val="006F343D"/>
    <w:rsid w:val="006F79A4"/>
    <w:rsid w:val="00716A92"/>
    <w:rsid w:val="0072033C"/>
    <w:rsid w:val="0073421C"/>
    <w:rsid w:val="00744121"/>
    <w:rsid w:val="00746453"/>
    <w:rsid w:val="00751B4B"/>
    <w:rsid w:val="007529A5"/>
    <w:rsid w:val="00757C1D"/>
    <w:rsid w:val="0076190F"/>
    <w:rsid w:val="0076227D"/>
    <w:rsid w:val="00763DCD"/>
    <w:rsid w:val="007760C1"/>
    <w:rsid w:val="007904FE"/>
    <w:rsid w:val="00792E54"/>
    <w:rsid w:val="007942E0"/>
    <w:rsid w:val="007A5A83"/>
    <w:rsid w:val="007A5B3A"/>
    <w:rsid w:val="007A67CE"/>
    <w:rsid w:val="007A7DF4"/>
    <w:rsid w:val="007B0F9E"/>
    <w:rsid w:val="007C21A7"/>
    <w:rsid w:val="007C4765"/>
    <w:rsid w:val="007D582E"/>
    <w:rsid w:val="007E07E4"/>
    <w:rsid w:val="007E25F6"/>
    <w:rsid w:val="007E6095"/>
    <w:rsid w:val="0080200B"/>
    <w:rsid w:val="00802B76"/>
    <w:rsid w:val="008049DB"/>
    <w:rsid w:val="0080559B"/>
    <w:rsid w:val="00807C8E"/>
    <w:rsid w:val="0081265D"/>
    <w:rsid w:val="00812976"/>
    <w:rsid w:val="00813631"/>
    <w:rsid w:val="00815E4F"/>
    <w:rsid w:val="00821364"/>
    <w:rsid w:val="00822D01"/>
    <w:rsid w:val="00831C33"/>
    <w:rsid w:val="00831F6B"/>
    <w:rsid w:val="00833457"/>
    <w:rsid w:val="00833B5A"/>
    <w:rsid w:val="00836F2B"/>
    <w:rsid w:val="008405E8"/>
    <w:rsid w:val="008546BA"/>
    <w:rsid w:val="0085544C"/>
    <w:rsid w:val="00863E81"/>
    <w:rsid w:val="008643B2"/>
    <w:rsid w:val="008700BE"/>
    <w:rsid w:val="008708A2"/>
    <w:rsid w:val="008756F8"/>
    <w:rsid w:val="0087775C"/>
    <w:rsid w:val="00881379"/>
    <w:rsid w:val="008820AF"/>
    <w:rsid w:val="00882963"/>
    <w:rsid w:val="0088670B"/>
    <w:rsid w:val="00887407"/>
    <w:rsid w:val="00887485"/>
    <w:rsid w:val="008902AB"/>
    <w:rsid w:val="00893243"/>
    <w:rsid w:val="00893DDC"/>
    <w:rsid w:val="0089513B"/>
    <w:rsid w:val="00895792"/>
    <w:rsid w:val="00895F76"/>
    <w:rsid w:val="00897CBA"/>
    <w:rsid w:val="008A0BE7"/>
    <w:rsid w:val="008B18F8"/>
    <w:rsid w:val="008B3068"/>
    <w:rsid w:val="008B3236"/>
    <w:rsid w:val="008B3B6B"/>
    <w:rsid w:val="008B5B0E"/>
    <w:rsid w:val="008B7092"/>
    <w:rsid w:val="008C002E"/>
    <w:rsid w:val="008C44DE"/>
    <w:rsid w:val="008C4B8F"/>
    <w:rsid w:val="008C7D47"/>
    <w:rsid w:val="008D2CE2"/>
    <w:rsid w:val="008D31A9"/>
    <w:rsid w:val="008D572A"/>
    <w:rsid w:val="008E0AEC"/>
    <w:rsid w:val="008E3157"/>
    <w:rsid w:val="008E543F"/>
    <w:rsid w:val="008F0EAF"/>
    <w:rsid w:val="008F2AB7"/>
    <w:rsid w:val="008F42E7"/>
    <w:rsid w:val="008F70FC"/>
    <w:rsid w:val="009062D9"/>
    <w:rsid w:val="00921BB8"/>
    <w:rsid w:val="00921E98"/>
    <w:rsid w:val="009314BF"/>
    <w:rsid w:val="009324BE"/>
    <w:rsid w:val="00940E38"/>
    <w:rsid w:val="009513F0"/>
    <w:rsid w:val="00953B3E"/>
    <w:rsid w:val="00954CCE"/>
    <w:rsid w:val="00957533"/>
    <w:rsid w:val="009643E8"/>
    <w:rsid w:val="00970FDA"/>
    <w:rsid w:val="00972547"/>
    <w:rsid w:val="00982932"/>
    <w:rsid w:val="00984E65"/>
    <w:rsid w:val="00990FB1"/>
    <w:rsid w:val="0099148E"/>
    <w:rsid w:val="00995926"/>
    <w:rsid w:val="009A1666"/>
    <w:rsid w:val="009A404D"/>
    <w:rsid w:val="009A4EE5"/>
    <w:rsid w:val="009A7572"/>
    <w:rsid w:val="009B72F1"/>
    <w:rsid w:val="009D1321"/>
    <w:rsid w:val="009E1F13"/>
    <w:rsid w:val="009E515D"/>
    <w:rsid w:val="009F0804"/>
    <w:rsid w:val="009F0CAB"/>
    <w:rsid w:val="009F48B7"/>
    <w:rsid w:val="00A04092"/>
    <w:rsid w:val="00A057D5"/>
    <w:rsid w:val="00A10C6F"/>
    <w:rsid w:val="00A1140A"/>
    <w:rsid w:val="00A11BFB"/>
    <w:rsid w:val="00A149A2"/>
    <w:rsid w:val="00A208E4"/>
    <w:rsid w:val="00A26CB5"/>
    <w:rsid w:val="00A27427"/>
    <w:rsid w:val="00A3019D"/>
    <w:rsid w:val="00A4247D"/>
    <w:rsid w:val="00A43274"/>
    <w:rsid w:val="00A446F9"/>
    <w:rsid w:val="00A5205A"/>
    <w:rsid w:val="00A61172"/>
    <w:rsid w:val="00A62C0E"/>
    <w:rsid w:val="00A643BB"/>
    <w:rsid w:val="00A7277C"/>
    <w:rsid w:val="00A809F2"/>
    <w:rsid w:val="00A87185"/>
    <w:rsid w:val="00A91739"/>
    <w:rsid w:val="00A9412F"/>
    <w:rsid w:val="00A961CE"/>
    <w:rsid w:val="00AB5226"/>
    <w:rsid w:val="00AB6965"/>
    <w:rsid w:val="00AC0C21"/>
    <w:rsid w:val="00AD0A7C"/>
    <w:rsid w:val="00AD3C11"/>
    <w:rsid w:val="00AD4464"/>
    <w:rsid w:val="00AD5DB2"/>
    <w:rsid w:val="00AD70F9"/>
    <w:rsid w:val="00AE2080"/>
    <w:rsid w:val="00AE33CB"/>
    <w:rsid w:val="00AE3871"/>
    <w:rsid w:val="00AE39D3"/>
    <w:rsid w:val="00AE3ACA"/>
    <w:rsid w:val="00AE7B16"/>
    <w:rsid w:val="00AF6ABA"/>
    <w:rsid w:val="00B0421C"/>
    <w:rsid w:val="00B0587F"/>
    <w:rsid w:val="00B116C8"/>
    <w:rsid w:val="00B13022"/>
    <w:rsid w:val="00B17831"/>
    <w:rsid w:val="00B2022E"/>
    <w:rsid w:val="00B2243B"/>
    <w:rsid w:val="00B259AB"/>
    <w:rsid w:val="00B27CBF"/>
    <w:rsid w:val="00B33699"/>
    <w:rsid w:val="00B36298"/>
    <w:rsid w:val="00B40910"/>
    <w:rsid w:val="00B429BA"/>
    <w:rsid w:val="00B5016E"/>
    <w:rsid w:val="00B6504A"/>
    <w:rsid w:val="00B7734C"/>
    <w:rsid w:val="00B8294A"/>
    <w:rsid w:val="00B87D25"/>
    <w:rsid w:val="00B929CC"/>
    <w:rsid w:val="00BA031D"/>
    <w:rsid w:val="00BA0795"/>
    <w:rsid w:val="00BB5683"/>
    <w:rsid w:val="00BB6DA7"/>
    <w:rsid w:val="00BC468F"/>
    <w:rsid w:val="00BC53A4"/>
    <w:rsid w:val="00BD0664"/>
    <w:rsid w:val="00BD7DDA"/>
    <w:rsid w:val="00BF27E2"/>
    <w:rsid w:val="00BF6063"/>
    <w:rsid w:val="00BF739D"/>
    <w:rsid w:val="00C10554"/>
    <w:rsid w:val="00C131BB"/>
    <w:rsid w:val="00C1690B"/>
    <w:rsid w:val="00C177C1"/>
    <w:rsid w:val="00C2045B"/>
    <w:rsid w:val="00C20541"/>
    <w:rsid w:val="00C2190A"/>
    <w:rsid w:val="00C32AE1"/>
    <w:rsid w:val="00C35564"/>
    <w:rsid w:val="00C36051"/>
    <w:rsid w:val="00C41AB1"/>
    <w:rsid w:val="00C45582"/>
    <w:rsid w:val="00C53D47"/>
    <w:rsid w:val="00C565EA"/>
    <w:rsid w:val="00C56C15"/>
    <w:rsid w:val="00C57800"/>
    <w:rsid w:val="00C61B53"/>
    <w:rsid w:val="00C627F7"/>
    <w:rsid w:val="00C64A5A"/>
    <w:rsid w:val="00C67520"/>
    <w:rsid w:val="00C67568"/>
    <w:rsid w:val="00C71FD6"/>
    <w:rsid w:val="00C75862"/>
    <w:rsid w:val="00C77263"/>
    <w:rsid w:val="00C815B9"/>
    <w:rsid w:val="00C847B0"/>
    <w:rsid w:val="00C8566B"/>
    <w:rsid w:val="00C92954"/>
    <w:rsid w:val="00C97A65"/>
    <w:rsid w:val="00CA12D9"/>
    <w:rsid w:val="00CA2832"/>
    <w:rsid w:val="00CA46CE"/>
    <w:rsid w:val="00CA7101"/>
    <w:rsid w:val="00CB1396"/>
    <w:rsid w:val="00CB1AC3"/>
    <w:rsid w:val="00CB7747"/>
    <w:rsid w:val="00CC691C"/>
    <w:rsid w:val="00CE0FD1"/>
    <w:rsid w:val="00CE4905"/>
    <w:rsid w:val="00CE7FC1"/>
    <w:rsid w:val="00CF790B"/>
    <w:rsid w:val="00D018DE"/>
    <w:rsid w:val="00D060EF"/>
    <w:rsid w:val="00D13231"/>
    <w:rsid w:val="00D14027"/>
    <w:rsid w:val="00D14910"/>
    <w:rsid w:val="00D16460"/>
    <w:rsid w:val="00D16AEE"/>
    <w:rsid w:val="00D16DA9"/>
    <w:rsid w:val="00D232D1"/>
    <w:rsid w:val="00D26B7F"/>
    <w:rsid w:val="00D314F5"/>
    <w:rsid w:val="00D336E0"/>
    <w:rsid w:val="00D36A90"/>
    <w:rsid w:val="00D36BD6"/>
    <w:rsid w:val="00D439D7"/>
    <w:rsid w:val="00D45248"/>
    <w:rsid w:val="00D45281"/>
    <w:rsid w:val="00D46A16"/>
    <w:rsid w:val="00D470C2"/>
    <w:rsid w:val="00D55D47"/>
    <w:rsid w:val="00D566EF"/>
    <w:rsid w:val="00D57D23"/>
    <w:rsid w:val="00D634FC"/>
    <w:rsid w:val="00D7584B"/>
    <w:rsid w:val="00D7780E"/>
    <w:rsid w:val="00D80AE1"/>
    <w:rsid w:val="00D86FE3"/>
    <w:rsid w:val="00DA17D8"/>
    <w:rsid w:val="00DA2A67"/>
    <w:rsid w:val="00DA38CB"/>
    <w:rsid w:val="00DB2FC2"/>
    <w:rsid w:val="00DB6FD8"/>
    <w:rsid w:val="00DD2C98"/>
    <w:rsid w:val="00DF202B"/>
    <w:rsid w:val="00DF2A82"/>
    <w:rsid w:val="00DF3887"/>
    <w:rsid w:val="00DF3FE7"/>
    <w:rsid w:val="00DF4964"/>
    <w:rsid w:val="00E00F48"/>
    <w:rsid w:val="00E021BE"/>
    <w:rsid w:val="00E07D2A"/>
    <w:rsid w:val="00E10793"/>
    <w:rsid w:val="00E126B1"/>
    <w:rsid w:val="00E219FC"/>
    <w:rsid w:val="00E25AC2"/>
    <w:rsid w:val="00E304EB"/>
    <w:rsid w:val="00E31ACC"/>
    <w:rsid w:val="00E43733"/>
    <w:rsid w:val="00E43CA9"/>
    <w:rsid w:val="00E54B08"/>
    <w:rsid w:val="00E5727F"/>
    <w:rsid w:val="00E662AA"/>
    <w:rsid w:val="00E757F6"/>
    <w:rsid w:val="00E75D31"/>
    <w:rsid w:val="00E77C06"/>
    <w:rsid w:val="00E81427"/>
    <w:rsid w:val="00E82BDC"/>
    <w:rsid w:val="00E84B20"/>
    <w:rsid w:val="00E867FD"/>
    <w:rsid w:val="00E90F17"/>
    <w:rsid w:val="00E95316"/>
    <w:rsid w:val="00E9569F"/>
    <w:rsid w:val="00E96D19"/>
    <w:rsid w:val="00EA066F"/>
    <w:rsid w:val="00EA173C"/>
    <w:rsid w:val="00EA3CF6"/>
    <w:rsid w:val="00EA54C2"/>
    <w:rsid w:val="00EB3132"/>
    <w:rsid w:val="00EB7661"/>
    <w:rsid w:val="00EC3E1B"/>
    <w:rsid w:val="00EC4D6F"/>
    <w:rsid w:val="00EC6BA8"/>
    <w:rsid w:val="00EE3285"/>
    <w:rsid w:val="00F048A8"/>
    <w:rsid w:val="00F072F2"/>
    <w:rsid w:val="00F07CD0"/>
    <w:rsid w:val="00F11C0F"/>
    <w:rsid w:val="00F138F2"/>
    <w:rsid w:val="00F23CAD"/>
    <w:rsid w:val="00F26A56"/>
    <w:rsid w:val="00F2767B"/>
    <w:rsid w:val="00F30D37"/>
    <w:rsid w:val="00F340FE"/>
    <w:rsid w:val="00F3660C"/>
    <w:rsid w:val="00F42C24"/>
    <w:rsid w:val="00F506DB"/>
    <w:rsid w:val="00F54F1E"/>
    <w:rsid w:val="00F57792"/>
    <w:rsid w:val="00F632FF"/>
    <w:rsid w:val="00F66A6C"/>
    <w:rsid w:val="00F74F91"/>
    <w:rsid w:val="00F76A70"/>
    <w:rsid w:val="00F76B6B"/>
    <w:rsid w:val="00F85BB0"/>
    <w:rsid w:val="00FB0E6D"/>
    <w:rsid w:val="00FB1D10"/>
    <w:rsid w:val="00FB5870"/>
    <w:rsid w:val="00FC63C5"/>
    <w:rsid w:val="00FD3AF5"/>
    <w:rsid w:val="00FE03E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BDE312"/>
  <w15:chartTrackingRefBased/>
  <w15:docId w15:val="{3527A51A-06D6-4BE2-B643-3A16E268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02C"/>
    <w:pPr>
      <w:spacing w:after="160" w:line="259" w:lineRule="auto"/>
    </w:pPr>
    <w:rPr>
      <w:rFonts w:eastAsia="Times New Roman"/>
      <w:sz w:val="22"/>
      <w:szCs w:val="22"/>
      <w:lang w:val="ro-RO"/>
    </w:rPr>
  </w:style>
  <w:style w:type="paragraph" w:styleId="Heading2">
    <w:name w:val="heading 2"/>
    <w:basedOn w:val="Normal"/>
    <w:next w:val="Normal"/>
    <w:link w:val="Heading2Char"/>
    <w:qFormat/>
    <w:rsid w:val="0008090B"/>
    <w:pPr>
      <w:keepNext/>
      <w:keepLines/>
      <w:spacing w:after="0" w:line="240" w:lineRule="auto"/>
      <w:jc w:val="both"/>
      <w:outlineLvl w:val="1"/>
    </w:pPr>
    <w:rPr>
      <w:rFonts w:ascii="Times New Roman" w:eastAsia="Calibri" w:hAnsi="Times New Roman"/>
      <w:b/>
      <w:bCs/>
      <w:i/>
      <w:sz w:val="26"/>
      <w:szCs w:val="26"/>
      <w:lang w:val="en-GB" w:eastAsia="en-GB"/>
    </w:rPr>
  </w:style>
  <w:style w:type="paragraph" w:styleId="Heading3">
    <w:name w:val="heading 3"/>
    <w:basedOn w:val="Normal"/>
    <w:next w:val="Normal"/>
    <w:link w:val="Heading3Char"/>
    <w:qFormat/>
    <w:rsid w:val="009F48B7"/>
    <w:pPr>
      <w:keepNext/>
      <w:keepLines/>
      <w:spacing w:before="40" w:after="0"/>
      <w:outlineLvl w:val="2"/>
    </w:pPr>
    <w:rPr>
      <w:rFonts w:ascii="Calibri Light" w:eastAsia="Calibri" w:hAnsi="Calibri Light"/>
      <w:color w:val="1F3763"/>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90FB1"/>
    <w:pPr>
      <w:ind w:left="720"/>
    </w:pPr>
  </w:style>
  <w:style w:type="paragraph" w:styleId="Header">
    <w:name w:val="header"/>
    <w:basedOn w:val="Normal"/>
    <w:link w:val="HeaderChar"/>
    <w:rsid w:val="007A67CE"/>
    <w:pPr>
      <w:tabs>
        <w:tab w:val="center" w:pos="4677"/>
        <w:tab w:val="right" w:pos="9355"/>
      </w:tabs>
      <w:spacing w:after="0" w:line="240" w:lineRule="auto"/>
    </w:pPr>
  </w:style>
  <w:style w:type="character" w:customStyle="1" w:styleId="HeaderChar">
    <w:name w:val="Header Char"/>
    <w:basedOn w:val="DefaultParagraphFont"/>
    <w:link w:val="Header"/>
    <w:locked/>
    <w:rsid w:val="007A67CE"/>
    <w:rPr>
      <w:rFonts w:cs="Times New Roman"/>
      <w:lang w:val="ro-RO" w:eastAsia="x-none"/>
    </w:rPr>
  </w:style>
  <w:style w:type="paragraph" w:styleId="Footer">
    <w:name w:val="footer"/>
    <w:basedOn w:val="Normal"/>
    <w:link w:val="FooterChar"/>
    <w:rsid w:val="007A67CE"/>
    <w:pPr>
      <w:tabs>
        <w:tab w:val="center" w:pos="4677"/>
        <w:tab w:val="right" w:pos="9355"/>
      </w:tabs>
      <w:spacing w:after="0" w:line="240" w:lineRule="auto"/>
    </w:pPr>
  </w:style>
  <w:style w:type="character" w:customStyle="1" w:styleId="FooterChar">
    <w:name w:val="Footer Char"/>
    <w:basedOn w:val="DefaultParagraphFont"/>
    <w:link w:val="Footer"/>
    <w:locked/>
    <w:rsid w:val="007A67CE"/>
    <w:rPr>
      <w:rFonts w:cs="Times New Roman"/>
      <w:lang w:val="ro-RO" w:eastAsia="x-none"/>
    </w:rPr>
  </w:style>
  <w:style w:type="character" w:styleId="CommentReference">
    <w:name w:val="annotation reference"/>
    <w:basedOn w:val="DefaultParagraphFont"/>
    <w:semiHidden/>
    <w:rsid w:val="005D3834"/>
    <w:rPr>
      <w:rFonts w:cs="Times New Roman"/>
      <w:sz w:val="16"/>
      <w:szCs w:val="16"/>
    </w:rPr>
  </w:style>
  <w:style w:type="paragraph" w:styleId="CommentText">
    <w:name w:val="annotation text"/>
    <w:basedOn w:val="Normal"/>
    <w:link w:val="CommentTextChar"/>
    <w:semiHidden/>
    <w:rsid w:val="005D3834"/>
    <w:pPr>
      <w:spacing w:line="240" w:lineRule="auto"/>
    </w:pPr>
    <w:rPr>
      <w:sz w:val="20"/>
      <w:szCs w:val="20"/>
    </w:rPr>
  </w:style>
  <w:style w:type="character" w:customStyle="1" w:styleId="CommentTextChar">
    <w:name w:val="Comment Text Char"/>
    <w:basedOn w:val="DefaultParagraphFont"/>
    <w:link w:val="CommentText"/>
    <w:semiHidden/>
    <w:locked/>
    <w:rsid w:val="005D3834"/>
    <w:rPr>
      <w:rFonts w:cs="Times New Roman"/>
      <w:sz w:val="20"/>
      <w:szCs w:val="20"/>
      <w:lang w:val="ro-RO" w:eastAsia="x-none"/>
    </w:rPr>
  </w:style>
  <w:style w:type="paragraph" w:styleId="CommentSubject">
    <w:name w:val="annotation subject"/>
    <w:basedOn w:val="CommentText"/>
    <w:next w:val="CommentText"/>
    <w:link w:val="CommentSubjectChar"/>
    <w:semiHidden/>
    <w:rsid w:val="005D3834"/>
    <w:rPr>
      <w:b/>
      <w:bCs/>
    </w:rPr>
  </w:style>
  <w:style w:type="character" w:customStyle="1" w:styleId="CommentSubjectChar">
    <w:name w:val="Comment Subject Char"/>
    <w:basedOn w:val="CommentTextChar"/>
    <w:link w:val="CommentSubject"/>
    <w:semiHidden/>
    <w:locked/>
    <w:rsid w:val="005D3834"/>
    <w:rPr>
      <w:rFonts w:cs="Times New Roman"/>
      <w:b/>
      <w:bCs/>
      <w:sz w:val="20"/>
      <w:szCs w:val="20"/>
      <w:lang w:val="ro-RO" w:eastAsia="x-none"/>
    </w:rPr>
  </w:style>
  <w:style w:type="paragraph" w:styleId="Revision">
    <w:name w:val="Revision"/>
    <w:hidden/>
    <w:semiHidden/>
    <w:rsid w:val="001F483B"/>
    <w:rPr>
      <w:rFonts w:eastAsia="Times New Roman"/>
      <w:sz w:val="22"/>
      <w:szCs w:val="22"/>
      <w:lang w:val="ro-RO"/>
    </w:rPr>
  </w:style>
  <w:style w:type="paragraph" w:styleId="BalloonText">
    <w:name w:val="Balloon Text"/>
    <w:basedOn w:val="Normal"/>
    <w:link w:val="BalloonTextChar"/>
    <w:semiHidden/>
    <w:rsid w:val="00666F9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semiHidden/>
    <w:locked/>
    <w:rsid w:val="00666F93"/>
    <w:rPr>
      <w:rFonts w:ascii="Times New Roman" w:hAnsi="Times New Roman" w:cs="Times New Roman"/>
      <w:sz w:val="18"/>
      <w:szCs w:val="18"/>
      <w:lang w:val="ro-RO" w:eastAsia="x-none"/>
    </w:rPr>
  </w:style>
  <w:style w:type="character" w:customStyle="1" w:styleId="fontstyle01">
    <w:name w:val="fontstyle01"/>
    <w:basedOn w:val="DefaultParagraphFont"/>
    <w:rsid w:val="00D45281"/>
    <w:rPr>
      <w:rFonts w:ascii="TimesNewRomanPSMT" w:hAnsi="TimesNewRomanPSMT" w:cs="Times New Roman"/>
      <w:color w:val="000000"/>
      <w:sz w:val="24"/>
      <w:szCs w:val="24"/>
    </w:rPr>
  </w:style>
  <w:style w:type="character" w:customStyle="1" w:styleId="fontstyle21">
    <w:name w:val="fontstyle21"/>
    <w:basedOn w:val="DefaultParagraphFont"/>
    <w:rsid w:val="00D45281"/>
    <w:rPr>
      <w:rFonts w:ascii="TimesNewRomanPS-ItalicMT" w:hAnsi="TimesNewRomanPS-ItalicMT" w:cs="Times New Roman"/>
      <w:i/>
      <w:iCs/>
      <w:color w:val="000000"/>
      <w:sz w:val="24"/>
      <w:szCs w:val="24"/>
    </w:rPr>
  </w:style>
  <w:style w:type="character" w:styleId="FootnoteReference">
    <w:name w:val="footnote reference"/>
    <w:aliases w:val="Footnotes refss,Texto de nota al pie,BVI fnr Char,Footnote symbol Char,Footnote Reference Arial Char,Car Char Car Char Car Char Char Char Char Char Char Char Char,Footnote Refernece Char Char Char,Footnote Refernece Char Char"/>
    <w:basedOn w:val="DefaultParagraphFont"/>
    <w:link w:val="BVIfnr"/>
    <w:semiHidden/>
    <w:locked/>
    <w:rsid w:val="00661C25"/>
    <w:rPr>
      <w:rFonts w:cs="Times New Roman"/>
      <w:vertAlign w:val="superscript"/>
    </w:rPr>
  </w:style>
  <w:style w:type="paragraph" w:styleId="FootnoteText">
    <w:name w:val="footnote text"/>
    <w:aliases w:val="Footnote Text Char,Char Char Char,Char Char,Text pozn. pod čarou Char1 Char,Text pozn. pod čarou Char Char Char,fn Char,Car Char,Char1 Char,Footnote Text Char1 Char Char Char Char,Footnote Text Char Char Char Char Char Char,Footnotes Char"/>
    <w:basedOn w:val="Normal"/>
    <w:semiHidden/>
    <w:rsid w:val="00661C25"/>
    <w:pPr>
      <w:spacing w:after="0" w:line="240" w:lineRule="auto"/>
    </w:pPr>
    <w:rPr>
      <w:rFonts w:ascii="Times New Roman" w:eastAsia="MS Mincho" w:hAnsi="Times New Roman"/>
      <w:sz w:val="20"/>
      <w:szCs w:val="20"/>
      <w:lang w:val="en-US"/>
    </w:rPr>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rsid w:val="00661C25"/>
    <w:pPr>
      <w:spacing w:after="0" w:line="240" w:lineRule="exact"/>
    </w:pPr>
    <w:rPr>
      <w:vertAlign w:val="superscript"/>
    </w:rPr>
  </w:style>
  <w:style w:type="paragraph" w:customStyle="1" w:styleId="Body">
    <w:name w:val="Body"/>
    <w:rsid w:val="001A4CD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160" w:line="259" w:lineRule="auto"/>
    </w:pPr>
    <w:rPr>
      <w:rFonts w:eastAsia="Times New Roman" w:cs="Calibri"/>
      <w:color w:val="000000"/>
      <w:sz w:val="22"/>
      <w:szCs w:val="22"/>
      <w:u w:color="000000"/>
      <w:lang w:eastAsia="en-IE"/>
    </w:rPr>
  </w:style>
  <w:style w:type="paragraph" w:styleId="NoSpacing">
    <w:name w:val="No Spacing"/>
    <w:qFormat/>
    <w:rsid w:val="001A4CD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cs="Calibri"/>
      <w:color w:val="000000"/>
      <w:sz w:val="22"/>
      <w:szCs w:val="22"/>
      <w:u w:color="000000"/>
      <w:lang w:val="en-IE" w:eastAsia="en-IE"/>
    </w:rPr>
  </w:style>
  <w:style w:type="character" w:styleId="Emphasis">
    <w:name w:val="Emphasis"/>
    <w:basedOn w:val="DefaultParagraphFont"/>
    <w:qFormat/>
    <w:rsid w:val="001A4CD1"/>
    <w:rPr>
      <w:rFonts w:cs="Times New Roman"/>
      <w:i/>
      <w:iCs/>
    </w:rPr>
  </w:style>
  <w:style w:type="paragraph" w:styleId="NormalWeb">
    <w:name w:val="Normal (Web)"/>
    <w:basedOn w:val="Normal"/>
    <w:rsid w:val="001A4CD1"/>
    <w:pPr>
      <w:spacing w:before="100" w:beforeAutospacing="1" w:after="100" w:afterAutospacing="1" w:line="240" w:lineRule="auto"/>
    </w:pPr>
    <w:rPr>
      <w:rFonts w:ascii="Times New Roman" w:eastAsia="Calibri" w:hAnsi="Times New Roman"/>
      <w:sz w:val="24"/>
      <w:szCs w:val="24"/>
      <w:lang w:val="en-IE" w:eastAsia="en-IE"/>
    </w:rPr>
  </w:style>
  <w:style w:type="character" w:customStyle="1" w:styleId="Link">
    <w:name w:val="Link"/>
    <w:rsid w:val="000253D5"/>
    <w:rPr>
      <w:color w:val="0563C1"/>
      <w:u w:val="single" w:color="0563C1"/>
    </w:rPr>
  </w:style>
  <w:style w:type="character" w:customStyle="1" w:styleId="Hyperlink0">
    <w:name w:val="Hyperlink.0"/>
    <w:basedOn w:val="Link"/>
    <w:rsid w:val="000253D5"/>
    <w:rPr>
      <w:rFonts w:ascii="Arial" w:eastAsia="Times New Roman" w:hAnsi="Arial" w:cs="Arial"/>
      <w:i/>
      <w:iCs/>
      <w:color w:val="0563C1"/>
      <w:u w:val="single" w:color="0563C1"/>
      <w:lang w:val="en-US" w:eastAsia="x-none"/>
    </w:rPr>
  </w:style>
  <w:style w:type="character" w:customStyle="1" w:styleId="multisentence">
    <w:name w:val="multisentence"/>
    <w:basedOn w:val="DefaultParagraphFont"/>
    <w:rsid w:val="004D4159"/>
    <w:rPr>
      <w:rFonts w:cs="Times New Roman"/>
    </w:rPr>
  </w:style>
  <w:style w:type="character" w:customStyle="1" w:styleId="rynqvb">
    <w:name w:val="rynqvb"/>
    <w:basedOn w:val="DefaultParagraphFont"/>
    <w:rsid w:val="00E00F48"/>
    <w:rPr>
      <w:rFonts w:cs="Times New Roman"/>
    </w:rPr>
  </w:style>
  <w:style w:type="character" w:customStyle="1" w:styleId="A13">
    <w:name w:val="A13"/>
    <w:rsid w:val="007E6095"/>
    <w:rPr>
      <w:rFonts w:ascii="Garamond" w:hAnsi="Garamond"/>
      <w:color w:val="000000"/>
      <w:sz w:val="12"/>
    </w:rPr>
  </w:style>
  <w:style w:type="paragraph" w:customStyle="1" w:styleId="Pa18">
    <w:name w:val="Pa18"/>
    <w:basedOn w:val="Normal"/>
    <w:next w:val="Normal"/>
    <w:rsid w:val="007E6095"/>
    <w:pPr>
      <w:autoSpaceDE w:val="0"/>
      <w:autoSpaceDN w:val="0"/>
      <w:adjustRightInd w:val="0"/>
      <w:spacing w:after="0" w:line="221" w:lineRule="atLeast"/>
    </w:pPr>
    <w:rPr>
      <w:rFonts w:ascii="Garamond" w:hAnsi="Garamond"/>
      <w:sz w:val="24"/>
      <w:szCs w:val="24"/>
      <w:lang w:val="en-GB"/>
    </w:rPr>
  </w:style>
  <w:style w:type="character" w:customStyle="1" w:styleId="docregistrysign">
    <w:name w:val="docregistrysign"/>
    <w:basedOn w:val="DefaultParagraphFont"/>
    <w:rsid w:val="007E6095"/>
    <w:rPr>
      <w:rFonts w:cs="Times New Roman"/>
    </w:rPr>
  </w:style>
  <w:style w:type="character" w:customStyle="1" w:styleId="docparallelquotation">
    <w:name w:val="docparallelquotation"/>
    <w:basedOn w:val="DefaultParagraphFont"/>
    <w:rsid w:val="007E6095"/>
    <w:rPr>
      <w:rFonts w:cs="Times New Roman"/>
    </w:rPr>
  </w:style>
  <w:style w:type="character" w:styleId="Hyperlink">
    <w:name w:val="Hyperlink"/>
    <w:basedOn w:val="DefaultParagraphFont"/>
    <w:rsid w:val="007E6095"/>
    <w:rPr>
      <w:rFonts w:cs="Times New Roman"/>
      <w:color w:val="0000FF"/>
      <w:u w:val="single"/>
    </w:rPr>
  </w:style>
  <w:style w:type="character" w:customStyle="1" w:styleId="Heading2Char">
    <w:name w:val="Heading 2 Char"/>
    <w:basedOn w:val="DefaultParagraphFont"/>
    <w:link w:val="Heading2"/>
    <w:locked/>
    <w:rsid w:val="0008090B"/>
    <w:rPr>
      <w:rFonts w:ascii="Times New Roman" w:hAnsi="Times New Roman" w:cs="Times New Roman"/>
      <w:b/>
      <w:bCs/>
      <w:i/>
      <w:sz w:val="26"/>
      <w:szCs w:val="26"/>
      <w:lang w:val="en-GB" w:eastAsia="en-GB"/>
    </w:rPr>
  </w:style>
  <w:style w:type="character" w:customStyle="1" w:styleId="Ohne">
    <w:name w:val="Ohne"/>
    <w:rsid w:val="00635110"/>
  </w:style>
  <w:style w:type="character" w:customStyle="1" w:styleId="Hyperlink2">
    <w:name w:val="Hyperlink.2"/>
    <w:basedOn w:val="Ohne"/>
    <w:rsid w:val="00C32AE1"/>
    <w:rPr>
      <w:rFonts w:ascii="Times New Roman" w:hAnsi="Times New Roman" w:cs="Times New Roman"/>
      <w:shd w:val="clear" w:color="auto" w:fill="FEFFFF"/>
    </w:rPr>
  </w:style>
  <w:style w:type="character" w:customStyle="1" w:styleId="Heading3Char">
    <w:name w:val="Heading 3 Char"/>
    <w:basedOn w:val="DefaultParagraphFont"/>
    <w:link w:val="Heading3"/>
    <w:semiHidden/>
    <w:locked/>
    <w:rsid w:val="009F48B7"/>
    <w:rPr>
      <w:rFonts w:ascii="Calibri Light" w:hAnsi="Calibri Light" w:cs="Times New Roman"/>
      <w:color w:val="1F3763"/>
      <w:sz w:val="24"/>
      <w:szCs w:val="24"/>
      <w:lang w:val="ro-RO" w:eastAsia="x-none"/>
    </w:rPr>
  </w:style>
  <w:style w:type="numbering" w:customStyle="1" w:styleId="ImportedStyle3">
    <w:name w:val="Imported Style 3"/>
    <w:rsid w:val="006841AD"/>
    <w:pPr>
      <w:numPr>
        <w:numId w:val="5"/>
      </w:numPr>
    </w:pPr>
  </w:style>
  <w:style w:type="numbering" w:customStyle="1" w:styleId="ImportierterStil10">
    <w:name w:val="Importierter Stil: 1.0"/>
    <w:rsid w:val="006841A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6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11510</Words>
  <Characters>65608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19ème Congrès de la Conférence des Cours constitutionnelles européennes</vt:lpstr>
    </vt:vector>
  </TitlesOfParts>
  <Company/>
  <LinksUpToDate>false</LinksUpToDate>
  <CharactersWithSpaces>76965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19ème Congrès de la Conférence des Cours constitutionnelles européennes</dc:title>
  <dc:subject/>
  <dc:creator>Teodor Papuc</dc:creator>
  <cp:keywords/>
  <dc:description/>
  <cp:lastModifiedBy>Gorodisteanu</cp:lastModifiedBy>
  <cp:revision>2</cp:revision>
  <dcterms:created xsi:type="dcterms:W3CDTF">2024-05-24T12:27:00Z</dcterms:created>
  <dcterms:modified xsi:type="dcterms:W3CDTF">2024-05-24T12:27:00Z</dcterms:modified>
</cp:coreProperties>
</file>